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C95" w:rsidRDefault="00663C95" w:rsidP="00663C95">
      <w:pPr>
        <w:pStyle w:val="TPNormalCharCharCharCharCharCharChar"/>
      </w:pPr>
      <w:bookmarkStart w:id="0" w:name="_Toc11203"/>
      <w:bookmarkStart w:id="1" w:name="_Toc156835679"/>
    </w:p>
    <w:p w:rsidR="00663C95" w:rsidRDefault="00663C95" w:rsidP="00663C95">
      <w:pPr>
        <w:pStyle w:val="TPNormalCharCharCharCharCharCharChar"/>
      </w:pPr>
      <w:r>
        <w:rPr>
          <w:rFonts w:hint="eastAsia"/>
        </w:rPr>
        <w:t>精华制药</w:t>
      </w:r>
    </w:p>
    <w:p w:rsidR="00663C95" w:rsidRDefault="00663C95" w:rsidP="00663C95">
      <w:pPr>
        <w:pStyle w:val="TPNormalCharCharCharCharCharCharChar"/>
      </w:pPr>
      <w:r>
        <w:rPr>
          <w:rFonts w:hint="eastAsia"/>
        </w:rPr>
        <w:t>集团股份有限公司</w:t>
      </w:r>
    </w:p>
    <w:p w:rsidR="00663C95" w:rsidRDefault="00663C95" w:rsidP="00663C95">
      <w:pPr>
        <w:pStyle w:val="TPNormalCharCharCharCharCharCharChar"/>
      </w:pPr>
      <w:r>
        <w:rPr>
          <w:rFonts w:hint="eastAsia"/>
        </w:rPr>
        <w:t>MES、SCADA系统</w:t>
      </w:r>
      <w:r>
        <w:br/>
      </w:r>
      <w:r w:rsidRPr="00663C95">
        <w:rPr>
          <w:rFonts w:hint="eastAsia"/>
        </w:rPr>
        <w:t>网络建设</w:t>
      </w:r>
    </w:p>
    <w:p w:rsidR="00663C95" w:rsidRDefault="00663C95" w:rsidP="00663C95">
      <w:pPr>
        <w:pStyle w:val="TPNormalCharCharCharCharCharCharChar"/>
      </w:pPr>
      <w:r>
        <w:rPr>
          <w:rFonts w:hint="eastAsia"/>
        </w:rPr>
        <w:t>需求说明</w:t>
      </w:r>
    </w:p>
    <w:p w:rsidR="00663C95" w:rsidRDefault="00663C95" w:rsidP="00663C95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 w:val="72"/>
          <w:szCs w:val="72"/>
          <w:shd w:val="clear" w:color="auto" w:fill="FFFFFF"/>
        </w:rPr>
      </w:pPr>
    </w:p>
    <w:p w:rsidR="00767BC5" w:rsidRDefault="00767BC5" w:rsidP="00663C95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 w:val="24"/>
          <w:szCs w:val="24"/>
          <w:shd w:val="clear" w:color="auto" w:fill="FFFFFF"/>
        </w:rPr>
      </w:pPr>
    </w:p>
    <w:p w:rsidR="00360161" w:rsidRPr="00767BC5" w:rsidRDefault="00360161" w:rsidP="00663C95">
      <w:pPr>
        <w:widowControl/>
        <w:spacing w:line="360" w:lineRule="auto"/>
        <w:jc w:val="left"/>
        <w:rPr>
          <w:rFonts w:ascii="微软雅黑" w:eastAsia="微软雅黑" w:hAnsi="微软雅黑"/>
          <w:b/>
          <w:color w:val="000000"/>
          <w:kern w:val="0"/>
          <w:sz w:val="24"/>
          <w:szCs w:val="24"/>
          <w:shd w:val="clear" w:color="auto" w:fill="FFFFFF"/>
        </w:rPr>
      </w:pPr>
    </w:p>
    <w:p w:rsidR="00767BC5" w:rsidRPr="00767BC5" w:rsidRDefault="00767BC5" w:rsidP="00767BC5">
      <w:pPr>
        <w:spacing w:line="360" w:lineRule="auto"/>
        <w:rPr>
          <w:rFonts w:ascii="微软雅黑" w:eastAsia="微软雅黑" w:hAnsi="微软雅黑"/>
        </w:rPr>
      </w:pPr>
      <w:r w:rsidRPr="00767BC5">
        <w:rPr>
          <w:rFonts w:ascii="微软雅黑" w:eastAsia="微软雅黑" w:hAnsi="微软雅黑" w:hint="eastAsia"/>
        </w:rPr>
        <w:lastRenderedPageBreak/>
        <w:tab/>
      </w:r>
      <w:r>
        <w:rPr>
          <w:rFonts w:ascii="微软雅黑" w:eastAsia="微软雅黑" w:hAnsi="微软雅黑"/>
        </w:rPr>
        <w:t>1、</w:t>
      </w:r>
      <w:r w:rsidRPr="00767BC5">
        <w:rPr>
          <w:rFonts w:ascii="微软雅黑" w:eastAsia="微软雅黑" w:hAnsi="微软雅黑" w:hint="eastAsia"/>
        </w:rPr>
        <w:t>概述及目的</w:t>
      </w:r>
    </w:p>
    <w:p w:rsidR="00767BC5" w:rsidRPr="00767BC5" w:rsidRDefault="00767BC5" w:rsidP="00767BC5">
      <w:pPr>
        <w:spacing w:line="360" w:lineRule="auto"/>
        <w:rPr>
          <w:rFonts w:ascii="微软雅黑" w:eastAsia="微软雅黑" w:hAnsi="微软雅黑"/>
        </w:rPr>
      </w:pPr>
      <w:r w:rsidRPr="00767BC5">
        <w:rPr>
          <w:rFonts w:ascii="微软雅黑" w:eastAsia="微软雅黑" w:hAnsi="微软雅黑" w:hint="eastAsia"/>
        </w:rPr>
        <w:t>范围</w:t>
      </w:r>
    </w:p>
    <w:p w:rsidR="00767BC5" w:rsidRPr="00767BC5" w:rsidRDefault="00767BC5" w:rsidP="00767BC5">
      <w:pPr>
        <w:spacing w:line="360" w:lineRule="auto"/>
        <w:rPr>
          <w:rFonts w:ascii="微软雅黑" w:eastAsia="微软雅黑" w:hAnsi="微软雅黑"/>
        </w:rPr>
      </w:pPr>
      <w:r w:rsidRPr="00767BC5">
        <w:rPr>
          <w:rFonts w:ascii="微软雅黑" w:eastAsia="微软雅黑" w:hAnsi="微软雅黑" w:hint="eastAsia"/>
        </w:rPr>
        <w:t>项目名称：精华制药集团股份有限公司车间MES、SCADA</w:t>
      </w:r>
      <w:r>
        <w:rPr>
          <w:rFonts w:ascii="微软雅黑" w:eastAsia="微软雅黑" w:hAnsi="微软雅黑" w:hint="eastAsia"/>
        </w:rPr>
        <w:t>系统网络建设</w:t>
      </w:r>
    </w:p>
    <w:p w:rsidR="00767BC5" w:rsidRPr="00767BC5" w:rsidRDefault="00767BC5" w:rsidP="00767BC5">
      <w:pPr>
        <w:spacing w:line="360" w:lineRule="auto"/>
        <w:rPr>
          <w:rFonts w:ascii="微软雅黑" w:eastAsia="微软雅黑" w:hAnsi="微软雅黑"/>
        </w:rPr>
      </w:pPr>
      <w:r w:rsidRPr="00767BC5">
        <w:rPr>
          <w:rFonts w:ascii="微软雅黑" w:eastAsia="微软雅黑" w:hAnsi="微软雅黑" w:hint="eastAsia"/>
        </w:rPr>
        <w:t>项目所在地：中国-江苏</w:t>
      </w:r>
    </w:p>
    <w:p w:rsidR="00D244E3" w:rsidRPr="00D244E3" w:rsidRDefault="00D244E3" w:rsidP="00D244E3">
      <w:pPr>
        <w:ind w:firstLineChars="200" w:firstLine="420"/>
        <w:rPr>
          <w:rFonts w:ascii="微软雅黑" w:eastAsia="微软雅黑" w:hAnsi="微软雅黑"/>
        </w:rPr>
      </w:pPr>
      <w:r w:rsidRPr="00D244E3">
        <w:rPr>
          <w:rFonts w:ascii="微软雅黑" w:eastAsia="微软雅黑" w:hAnsi="微软雅黑" w:hint="eastAsia"/>
        </w:rPr>
        <w:t>本项目为企业级无线覆盖及网络基础设施建设项目，核心围绕车间 MES、SCADA 工业控制系统的网络需求展开建设，旨在通过部署标准化、高可靠性、高扩展性的工业级网络硬件设备，搭建一套覆盖企业生产车间、办公区域等全场景的有线 + 无线一体化工业网络系统，为 MES 生产执行系统、SCADA 数据采集与监控系统提供低时延、高稳定、高可靠的网络支撑，满足工业生产场景下高速数据传输、多终端并发接入、无线无缝漫游、工业数据实时交互的核心网络需求，同时建立完善的设备运维、故障响应及网络保障服务体系，为企业生产经营活动及工业控制系统稳定运行提供安全、高效、持续的网络支撑。</w:t>
      </w:r>
    </w:p>
    <w:p w:rsidR="00D244E3" w:rsidRPr="00D244E3" w:rsidRDefault="00D244E3" w:rsidP="00D244E3">
      <w:pPr>
        <w:ind w:firstLineChars="200" w:firstLine="420"/>
        <w:rPr>
          <w:rFonts w:ascii="微软雅黑" w:eastAsia="微软雅黑" w:hAnsi="微软雅黑"/>
        </w:rPr>
      </w:pPr>
      <w:r w:rsidRPr="00D244E3">
        <w:rPr>
          <w:rFonts w:ascii="微软雅黑" w:eastAsia="微软雅黑" w:hAnsi="微软雅黑" w:hint="eastAsia"/>
        </w:rPr>
        <w:t>项目建设内容涵盖核心网络设备部署、汇聚</w:t>
      </w:r>
      <w:proofErr w:type="gramStart"/>
      <w:r w:rsidRPr="00D244E3">
        <w:rPr>
          <w:rFonts w:ascii="微软雅黑" w:eastAsia="微软雅黑" w:hAnsi="微软雅黑" w:hint="eastAsia"/>
        </w:rPr>
        <w:t>层网络</w:t>
      </w:r>
      <w:proofErr w:type="gramEnd"/>
      <w:r w:rsidRPr="00D244E3">
        <w:rPr>
          <w:rFonts w:ascii="微软雅黑" w:eastAsia="微软雅黑" w:hAnsi="微软雅黑" w:hint="eastAsia"/>
        </w:rPr>
        <w:t>搭建、接入层终端组网、全场景无线覆盖、线缆及配套辅材敷设五大核心板块，涉及核心交换机、汇聚交换机、无线控制器 AC、各类接入交换机、企业级定向 AP、吸顶 AP 等工业级网络硬件设备的采购与安装，同时包含室内六类非屏蔽网线、24 芯光缆、供电电缆等传输介质的规范化敷设，以及光纤熔接、配套配件安装、网络调优测试等配套施工内容，所有建设环节均贴合 MES、SCADA 系统的工业数据传输标准，保障工业指令、生产数据的实时</w:t>
      </w:r>
      <w:proofErr w:type="gramStart"/>
      <w:r w:rsidRPr="00D244E3">
        <w:rPr>
          <w:rFonts w:ascii="微软雅黑" w:eastAsia="微软雅黑" w:hAnsi="微软雅黑" w:hint="eastAsia"/>
        </w:rPr>
        <w:t>交互与</w:t>
      </w:r>
      <w:proofErr w:type="gramEnd"/>
      <w:r w:rsidRPr="00D244E3">
        <w:rPr>
          <w:rFonts w:ascii="微软雅黑" w:eastAsia="微软雅黑" w:hAnsi="微软雅黑" w:hint="eastAsia"/>
        </w:rPr>
        <w:t>精准传输。</w:t>
      </w:r>
    </w:p>
    <w:p w:rsidR="00D244E3" w:rsidRPr="00D244E3" w:rsidRDefault="00D244E3" w:rsidP="00D244E3">
      <w:pPr>
        <w:ind w:firstLineChars="200" w:firstLine="420"/>
        <w:rPr>
          <w:rFonts w:ascii="微软雅黑" w:eastAsia="微软雅黑" w:hAnsi="微软雅黑"/>
        </w:rPr>
      </w:pPr>
      <w:r w:rsidRPr="00D244E3">
        <w:rPr>
          <w:rFonts w:ascii="微软雅黑" w:eastAsia="微软雅黑" w:hAnsi="微软雅黑" w:hint="eastAsia"/>
        </w:rPr>
        <w:t>项目严格遵循工业企业网络建设相关技术规范及性能标准，针对 MES、SCADA 系统对网络低时延、高可靠、抗干扰的核心要求，对所有网络设备的硬件接口、性能参数、可靠性、兼容性等制定明确且严苛的技术要求，对线缆传输、无线覆盖的核心指标设置量化验收标准，确保网络系统具备高带宽转发、高密度终端接入、无缝无线漫游、安全隔离管控的能力，满足工业控制系统 7×24 小时不间断运行需求。同时，项目配套完善的技术服务与质</w:t>
      </w:r>
      <w:r w:rsidRPr="00D244E3">
        <w:rPr>
          <w:rFonts w:ascii="微软雅黑" w:eastAsia="微软雅黑" w:hAnsi="微软雅黑" w:hint="eastAsia"/>
        </w:rPr>
        <w:lastRenderedPageBreak/>
        <w:t>保体系，明确施工方的安装调试、技术培训、故障响应、定期巡检等服务责任，保障网络系统建成后能够长期、稳定、不间断运行，适配企业当前 MES、SCADA 系统的业务需求及未来网络扩容、工业系统升级的发展规划。</w:t>
      </w:r>
    </w:p>
    <w:p w:rsidR="00663C95" w:rsidRDefault="00D244E3" w:rsidP="00D244E3">
      <w:pPr>
        <w:ind w:firstLineChars="200" w:firstLine="420"/>
        <w:rPr>
          <w:rFonts w:ascii="微软雅黑" w:eastAsia="微软雅黑" w:hAnsi="微软雅黑"/>
        </w:rPr>
      </w:pPr>
      <w:r w:rsidRPr="00D244E3">
        <w:rPr>
          <w:rFonts w:ascii="微软雅黑" w:eastAsia="微软雅黑" w:hAnsi="微软雅黑" w:hint="eastAsia"/>
        </w:rPr>
        <w:t>本项目的实施将实现企业工业网络基础设施的标准化升级，打造适配 MES、SCADA 系统的全场景无死角高速无线覆盖，大幅提升工业生产场景下的网络传输效率和终端接入能力，降低工业网络故障发生率，保障生产数据、监控指令的实时、精准传输，同时通过专业的运维服务和</w:t>
      </w:r>
      <w:proofErr w:type="gramStart"/>
      <w:r w:rsidRPr="00D244E3">
        <w:rPr>
          <w:rFonts w:ascii="微软雅黑" w:eastAsia="微软雅黑" w:hAnsi="微软雅黑" w:hint="eastAsia"/>
        </w:rPr>
        <w:t>质保</w:t>
      </w:r>
      <w:proofErr w:type="gramEnd"/>
      <w:r w:rsidRPr="00D244E3">
        <w:rPr>
          <w:rFonts w:ascii="微软雅黑" w:eastAsia="微软雅黑" w:hAnsi="微软雅黑" w:hint="eastAsia"/>
        </w:rPr>
        <w:t>保障，减少企业工业网络管理成本，为企业数字化、智能化生产改造奠定坚实的工业网络基础。</w:t>
      </w:r>
    </w:p>
    <w:p w:rsidR="00360161" w:rsidRDefault="00360161" w:rsidP="00D244E3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网络拓扑图：</w:t>
      </w:r>
    </w:p>
    <w:p w:rsidR="00360161" w:rsidRDefault="007856E1" w:rsidP="00D244E3">
      <w:pPr>
        <w:ind w:firstLineChars="200" w:firstLine="420"/>
      </w:pPr>
      <w:r>
        <w:rPr>
          <w:rFonts w:ascii="微软雅黑" w:eastAsia="微软雅黑" w:hAnsi="微软雅黑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344.25pt">
            <v:imagedata r:id="rId9" o:title="微信图片_20260304155749_630_74"/>
          </v:shape>
        </w:pict>
      </w:r>
    </w:p>
    <w:p w:rsidR="00C90B12" w:rsidRDefault="0056145E">
      <w:pPr>
        <w:pStyle w:val="20"/>
      </w:pPr>
      <w:r>
        <w:rPr>
          <w:rFonts w:hint="eastAsia"/>
        </w:rPr>
        <w:lastRenderedPageBreak/>
        <w:t>设备性能需求</w:t>
      </w:r>
      <w:bookmarkEnd w:id="0"/>
      <w:bookmarkEnd w:id="1"/>
    </w:p>
    <w:tbl>
      <w:tblPr>
        <w:tblpPr w:leftFromText="180" w:rightFromText="180" w:vertAnchor="text" w:tblpX="-74" w:tblpY="1"/>
        <w:tblOverlap w:val="never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5623"/>
        <w:gridCol w:w="1312"/>
        <w:gridCol w:w="1201"/>
      </w:tblGrid>
      <w:tr w:rsidR="00C90B12">
        <w:trPr>
          <w:trHeight w:val="454"/>
          <w:tblHeader/>
        </w:trPr>
        <w:tc>
          <w:tcPr>
            <w:tcW w:w="1239" w:type="dxa"/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序号</w:t>
            </w:r>
            <w:proofErr w:type="spellEnd"/>
          </w:p>
        </w:tc>
        <w:tc>
          <w:tcPr>
            <w:tcW w:w="5623" w:type="dxa"/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具体要求</w:t>
            </w:r>
            <w:proofErr w:type="spellEnd"/>
          </w:p>
        </w:tc>
        <w:tc>
          <w:tcPr>
            <w:tcW w:w="1312" w:type="dxa"/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期望</w:t>
            </w:r>
            <w:proofErr w:type="spellEnd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/必</w:t>
            </w:r>
            <w:r>
              <w:rPr>
                <w:rFonts w:ascii="微软雅黑" w:eastAsia="微软雅黑" w:hAnsi="微软雅黑" w:hint="eastAsia"/>
                <w:b/>
                <w:lang w:bidi="en-US"/>
              </w:rPr>
              <w:t>需</w:t>
            </w:r>
          </w:p>
        </w:tc>
        <w:tc>
          <w:tcPr>
            <w:tcW w:w="1201" w:type="dxa"/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是否符合</w:t>
            </w:r>
            <w:proofErr w:type="spellEnd"/>
          </w:p>
        </w:tc>
      </w:tr>
      <w:tr w:rsidR="00C90B12">
        <w:trPr>
          <w:trHeight w:val="454"/>
        </w:trPr>
        <w:tc>
          <w:tcPr>
            <w:tcW w:w="1239" w:type="dxa"/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623" w:type="dxa"/>
            <w:vAlign w:val="center"/>
          </w:tcPr>
          <w:p w:rsidR="00FC3760" w:rsidRDefault="0056145E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核心交换机：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设备类型：</w:t>
            </w:r>
            <w:proofErr w:type="gram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万兆三</w:t>
            </w:r>
            <w:proofErr w:type="gram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层全管理增强型交换机，具备完整三层路由、增强型运</w:t>
            </w:r>
            <w:proofErr w:type="gram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维管理</w:t>
            </w:r>
            <w:proofErr w:type="gram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及高带宽转发功能，适配企业核心/汇聚层高密度、高可靠性组网需求。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设备形态：19英寸1U标准机架式，采用金属外壳，结构坚固，具备良好的抗干扰、防尘及散热性能，保障设备24小时不间断稳定运行。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可靠性要求：支持1+1电源备份，自带2个可拔插风扇，关键部件可热插拔，供电稳定、散热高效，保障网络业务连续无中断。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兼容性要求：支持标准网络协议，可与企业现有路由器、交换机、防火墙等设备无缝兼容，支持子卡槽位扩展，便于网络扩容与整合。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千兆电口</w:t>
            </w:r>
            <w:proofErr w:type="gram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：24个10/100/1000BASE-T以太网电口，用于连接终端、接入层设备或其他网络节点，支持高速有线数据传输。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万兆光口：16个万兆SFP+光口，用于中高速上行互联、跨设备数据传输，满足中高带宽业务需求。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- 25GE光口：8个25GE SFP28光口，用于高速数据转发、带宽密集型业务传输，提升网络传输效率。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- 100GE光口：2个100GE QSFP28光口，用于核心层高速互联，满足超大带宽数据传输需求。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扩展接口：支持1个子卡槽位，可根据组</w:t>
            </w:r>
            <w:proofErr w:type="gram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网需求</w:t>
            </w:r>
            <w:proofErr w:type="gram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扩展模块，提升设备扩展性。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电源接口：支持交流电源输入，默认含1个600W交流电源，支持1+1电源备份扩展。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安装要求：默认自带机架挂耳，适配19英寸标准机架安装，便于机房统一部署与管理。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包转发率：≥960Mpps/1476Mpps，确保海量数据转发高效流畅，无卡顿、丢包现象，满足高密度端口并发传输需求。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交换容量：≥2.56Tbps/25.6Tbps，具备充足的带宽冗余，支持未来网络扩容，适配高带宽业务场景。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VLAN支持：支持VLAN数量≥4K，可实现网络分段管理，提升网络安全性与隔离性，适配企业多部门组网需求。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MAC地址表：支持MAC地址表容量≥64K，可稳定接入大量终端设备，避免MAC地址溢出，保障网络稳定运行。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增强功能：支持三层路由（静态路由、动态路由）、ACL访问控制、</w:t>
            </w:r>
            <w:proofErr w:type="spell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QoS</w:t>
            </w:r>
            <w:proofErr w:type="spell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流量调度、端口镜像、堆叠/虚拟化、环路检测等增强型管理功能，满足企业级网络管控需求。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电源配置：支持1+1冗余电源备份，默认包含1个600W交流电源模块，符合机房交流供电标准，具备过流、过压、防雷保护功能，保障设备安全稳定供电。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散热要求：自带2个可拔插风扇，支持热插拔与智能调速，具备高效散热系统，适配机房标准温湿度环境，确保设备长时间稳定运行，无过热故障。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设备结构：19英寸1U标准机架式设计，体积紧凑，节省机房机架空间，适配机房标准化部署。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设备材质：采用金属外壳，具备良好的电磁屏蔽、防尘、抗压、抗干扰性能，适应机房复杂电磁环境及粉尘环境。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环境适应性：工作温度、湿度、海拔、电磁兼容等指标符合企业机房运行标准，可长期稳定工作，满足24小时不间断运行需求。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管理方式：支持全功能Web管理、CLI命令行管理、SNMP协议管理，便于运</w:t>
            </w:r>
            <w:proofErr w:type="gramStart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灵活操作，实现设备集中管控与配置。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运维功能：支持设备日志记录、故障告警、配置备份与恢复、端口状态监控、流量统计等功能，提升运维效率，便于故障快速排查。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安全管理：支持端口安全、MAC地址绑定、ACL访问控制、风暴抑制等安全功能，防范网络攻击与非法接入，保障核心网络安全。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交付清单：S620-24T16X8Y2CZ交换机主机、1个600W交流电源模块、2个可拔插风扇、机架挂耳、电源线、产品合格证、使用说明书、保修卡。</w:t>
            </w:r>
          </w:p>
          <w:p w:rsidR="00BE4FB7" w:rsidRPr="00BE4FB7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验收标准：到货后开箱验收，核对设备型号、硬件接口、性能参数、配件等，需完全符合本URS所有条款，设备通电测试、功能测试正常后方可验收通过。</w:t>
            </w:r>
          </w:p>
          <w:p w:rsidR="00C90B12" w:rsidRDefault="00BE4FB7" w:rsidP="00BE4FB7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BE4FB7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质量保障：设备需提供正规厂家质保，质保期限符合行业标准，具备完善的售后技术支持，可提供远程及现场故障排查服务。</w:t>
            </w:r>
          </w:p>
        </w:tc>
        <w:tc>
          <w:tcPr>
            <w:tcW w:w="1312" w:type="dxa"/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C90B12">
        <w:trPr>
          <w:trHeight w:val="454"/>
        </w:trPr>
        <w:tc>
          <w:tcPr>
            <w:tcW w:w="1239" w:type="dxa"/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623" w:type="dxa"/>
            <w:vAlign w:val="center"/>
          </w:tcPr>
          <w:p w:rsidR="00C90B12" w:rsidRDefault="0056145E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汇聚交换机：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设备类型：千兆三层全管理增强型交换机，具备完整的三层路由功能及增强型运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维管理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能力，适配企业级网络部署需求。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设备形态：19英寸1U标准机架式设计，金属外壳，结构坚固，具备良好的抗干扰、防尘及散热性能。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可靠性要求：支持冗余电源、专用堆叠功能，保障网络业务连续稳定运行，减少故障停机时间。</w:t>
            </w:r>
          </w:p>
          <w:p w:rsid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兼容性要求：支持标准网络协议，可与现有企业网络设备（路由器、交换机、防火墙等）无缝兼容，便于网络扩展与整合。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千兆光口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：24个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千兆光口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，其中包含8个GE combo口（支持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光口/电口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自适应切换，满足不同接入场景需求）。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万兆光口：4个万兆光口，用于高速上行、跨设备互联或带宽密集型业务传输。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堆叠接口：2个专用堆叠口，支持交换机堆叠扩展，提升网络端口密度与整体性能，简化网络管理。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安装配件：默认自带机架挂耳，支持19英寸标准机架安装，无需额外采购挂耳配件。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包转发率：≥171Mpps/256Mpps，确保数据转发高效流畅，无卡顿、丢包现象。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交换容量：≥672Gbps/6.72Tbps，满足高密度千兆端口并发传输需求，支持带宽扩容。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VLAN支持：支持VLAN数量≥4K，可实现网络分段管理，提升网络安全性与隔离性。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MAC地址表：支持MAC地址表容量≥32K，可稳定接入大量终端设备，避免MAC地址溢出。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增强功能：支持三层路由（静态路由、动态路由）、ACL访问控制、</w:t>
            </w:r>
            <w:proofErr w:type="spell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QoS</w:t>
            </w:r>
            <w:proofErr w:type="spell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流量调度、端口镜像、环路检测等增强型管理功能。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电源配置：支持1+1冗余电源备份，提升设备供电可靠性，避免单电源故障导致业务中断。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标配电源：默认包含1个80W交流电源模块，符合机房交流供电标准，具备过流、过压、防雷保护功能。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散热要求：具备高效散热系统，适配机房标准温湿度环境，确保设备长时间稳定运行，无过热故障。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机架规格：19英寸1U标准机架式，符合机房标准化部署要求，节省机架空间。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设备材质：金属外壳，具备良好的电磁屏蔽、防尘、抗压性能，适应机房复杂环境。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环境适应性：工作温度、湿度、海拔、电磁兼容等指标符合企业机房运行标准，可长期稳定工作。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管理方式：支持全功能Web管理、CLI命令行管理、SNMP协议管理，便于运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灵活操作。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运维功能：支持设备日志记录、故障告警、配置备份与恢复、端口状态监控等功能，提升运维效率。</w:t>
            </w:r>
          </w:p>
          <w:p w:rsid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安全管理：支持端口安全、MAC地址绑定、ACL访问控制等安全功能，防范网络攻击与非法接入。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交付清单：设备主机、1个80W交流电源模块、机架挂耳、电源线、产品合格证、使用说明书、保修卡。</w:t>
            </w:r>
          </w:p>
          <w:p w:rsidR="00D7387B" w:rsidRPr="00D7387B" w:rsidRDefault="00D7387B" w:rsidP="00D7387B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验收标准：到货后开箱验收，核对设备型号、硬件接口、性能参数、配件等，需完全符合本URS所有条款，各项功能测试正常后方可验收通过。</w:t>
            </w:r>
          </w:p>
          <w:p w:rsidR="00C90B12" w:rsidRDefault="00D7387B" w:rsidP="00D7387B">
            <w:pPr>
              <w:spacing w:line="276" w:lineRule="auto"/>
              <w:rPr>
                <w:rFonts w:ascii="微软雅黑" w:eastAsia="微软雅黑" w:hAnsi="微软雅黑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质量保障：设备需提供正规厂家质保，质保期限符合行业标准，具备完善的售后技术支持。</w:t>
            </w:r>
          </w:p>
        </w:tc>
        <w:tc>
          <w:tcPr>
            <w:tcW w:w="1312" w:type="dxa"/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7856E1">
        <w:trPr>
          <w:trHeight w:val="454"/>
        </w:trPr>
        <w:tc>
          <w:tcPr>
            <w:tcW w:w="1239" w:type="dxa"/>
            <w:vAlign w:val="center"/>
          </w:tcPr>
          <w:p w:rsidR="007856E1" w:rsidRDefault="007856E1" w:rsidP="007856E1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623" w:type="dxa"/>
            <w:vAlign w:val="center"/>
          </w:tcPr>
          <w:p w:rsidR="007856E1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无线控制器A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设备类型：具备AP集中管理、数据转发、无线安全管控等全功能，适配企业级无线组网需求。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设备形态：适配机房标准部署，结构坚固，具备良好的抗干扰、防尘及散热性能，保障设备长期稳定运行。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可靠性要求：配备标准电源适配器，供电稳定，支持高效数据转发，保障无线业务连续无中断。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兼容性要求：支持标准网络协议，可与企业现有交换机、路由器、AP等设备无缝兼容，便于无线网络扩展与整合，支持主流AP型号适配。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千兆电口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：10个千兆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以太电口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，用于连接终端、交换机或其他网络设备，支持高速有线数据传输。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万兆光口：2个万兆SFP+光口，用于高速上行互联、跨设备数据传输，提升整体网络带宽。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电源接口：支持AC/DC电源输入，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标配1个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AC/DC电源适配器，满足设备正常供电需求。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安装要求：适配机房标准部署，支持机架安装（若有需求可兼容19英寸机架），便于统一管理。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转发能力：≥10Gbps，确保数据转发高效流畅，无卡顿、丢包现象，满足多AP并发数据传输需求。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AP管理能力：支持管理AP数量≥128个，可实现AP集中配置、</w:t>
            </w: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监控、升级及故障排查，简化无线运维管理。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VLAN支持：支持VLAN数量≥4K（兼容主流网络分段需求），可实现无线与有线网络分段管理，提升网络安全性与隔离性。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MAC地址表：支持MAC地址表容量≥32K，可稳定接入大量无线及有线终端设备，避免MAC地址溢出。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增强功能：支持无线漫游、负载均衡、ACL访问控制、</w:t>
            </w:r>
            <w:proofErr w:type="spell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QoS</w:t>
            </w:r>
            <w:proofErr w:type="spell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流量调度、无线安全加密（WPA2/WPA3）等增强型管理功能。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电源配置：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标配1个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AC/DC电源适配器，供电稳定，符合机房供电标准，具备过流、过压、防雷保护功能，保障设备安全运行。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散热要求：具备高效散热系统，适配机房标准温湿度环境，确保设备长时间稳定运行，无过热故障，满足24小时不间断工作需求。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设备结构：采用标准化设计，体积适中，适配机房集中部署，可根据需求进行机架安装或桌面部署。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设备材质：采用高品质材质，具备良好的电磁屏蔽、防尘、抗压性能，适应机房复杂电磁环境及粉尘环境。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环境适应性：工作温度、湿度、海拔、电磁兼容等指标符合企业机房运行标准，可长期稳定工作。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管理方式：支持全功能Web管理、CLI命令行管理、SNMP协议管理，便于运</w:t>
            </w:r>
            <w:proofErr w:type="gramStart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灵活操作，实现AP及设备自身的集中管理。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运维功能：支持设备日志记录、故障告警、配置备份与恢复、AP状态监控、流量统计等功能，提升运维效率。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安全管理：支持无线安全加密、端口安全、MAC地址绑定、ACL访问控制等安全功能，防范无线攻击与非法接入，保障无线网络安全。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交付清单： 1个AC/DC电源适配器、电源线、产品合格证、使用说明书、保修卡。</w:t>
            </w:r>
          </w:p>
          <w:p w:rsidR="007856E1" w:rsidRPr="00D7387B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验收标准：到货后开箱验收，核对设备型号、硬件接口、性能参数、配件等，需完全符合本URS所有条款，设备通电测试、AP管理功能及转发功能测试正常后方可验收通过。</w:t>
            </w:r>
          </w:p>
          <w:p w:rsidR="007856E1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D7387B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质量保障：设备需提供正规厂家质保，质保期限符合行业标准，具备完善的售后技术支持，可提供远程及现场故障排查服务。</w:t>
            </w:r>
          </w:p>
        </w:tc>
        <w:tc>
          <w:tcPr>
            <w:tcW w:w="1312" w:type="dxa"/>
            <w:vAlign w:val="center"/>
          </w:tcPr>
          <w:p w:rsidR="007856E1" w:rsidRDefault="007856E1" w:rsidP="007856E1">
            <w:pPr>
              <w:pStyle w:val="a5"/>
              <w:ind w:firstLine="44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7856E1" w:rsidRDefault="007856E1" w:rsidP="007856E1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7856E1">
        <w:trPr>
          <w:trHeight w:val="454"/>
        </w:trPr>
        <w:tc>
          <w:tcPr>
            <w:tcW w:w="1239" w:type="dxa"/>
            <w:vAlign w:val="center"/>
          </w:tcPr>
          <w:p w:rsidR="007856E1" w:rsidRDefault="007856E1" w:rsidP="007856E1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7856E1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16口POE交换机：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设备类型：支持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+供电，具备基础数据转发及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供电管理功能，适配企业接入层高密度终端接入场景。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设备形态：1U标准机架式，采用金属外壳，结构坚固，具备良好的</w:t>
            </w: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抗干扰、防尘及散热性能，保障设备24小时不间断稳定运行。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可靠性要求：采用交流供电模式，供电稳定，支持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+标准供电，具备过载、短路保护功能，保障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终端及交换机自身安全运行。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兼容性要求：支持标准网络协议，可与企业现有路由器、交换机等网络设备无缝兼容，支持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+终端（AP、IP摄像头等）即插即用，便于网络快速部署。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千兆电口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：16个10/100/1000BASE-T以太网电口，支持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+供电，用于连接终端设备、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终端（AP、IP摄像头等），支持高速有线数据传输。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千兆光口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：2个千兆SFP光口，用于上行互联、跨设备数据传输，提升接入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上行带宽。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供电方式：采用交流供电，适配机房及办公区域标准交流电源，无需额外配置特殊供电设备。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安装要求：默认自带机架挂耳，适配1U标准机架安装，便于机房统一部署与管理，节省机架空间。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包转发率：≥26.78Mpps，确保终端数据转发高效流畅，无卡顿、丢包现象，满足接入层多终端并发传输需求。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交换容量：≥36Gbps，具备充足的带宽支撑，适配接入层终端数据交互及上行传输需求。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MAC地址表：支持MAC地址表容量≥8K，可稳定接入各类终端设备，避免MAC地址溢出，保障网络稳定运行。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+功能：支持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+供电，总输出功率≥247W，可稳定为16个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+终端供电，支持自动检测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设备，实现智能供电管理。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基础功能：支持VLAN划分、端口限速、环路检测等基础管理功能，满足接入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隔离、流量管控需求。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电源配置：采用交流供电模式，适配标准交流电源输入，供电稳定，具备过流、过压、防雷保护功能，保障设备及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终端安全供电。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供电：支持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+标准，总输出功率≥247W，支持端口自动供电检测，可根据终端需求智能分配供电功率，避免过载。</w:t>
            </w:r>
          </w:p>
          <w:p w:rsidR="007856E1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散热要求：具备高效散热系统，适配机房及办公区域标准温湿度环境，确保设备长时间稳定运行，无过热故障，满足24小时不间断工作需求。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 xml:space="preserve"> 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设备结构：1U标准机架式设计，体积紧凑，适配1U标准机架安装，节省机房机架空间，便于标准化部署。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设备材质：采用金属外壳，具备良好的电磁屏蔽、防尘、抗压、抗干扰性能，适应机房及办公区域复杂环境。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环境适应性：工作温度、湿度、海拔、电磁兼容等指标符合企业网络设备运行标准，可长期稳定工作。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管理方式：支持基础Web管理、CLI命令行管理，便于运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灵活操作，实现设备配置、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供电管理及故障排查。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运维功能：支持设备日志记录、端口状态监控、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供电状态监控、故障告警等功能，提升运维效率，便于快速定位故障。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安全管理：支持端口安全、MAC地址绑定、环路检测等安全功能，防范非法接入及网络环路，保障接入</w:t>
            </w:r>
            <w:proofErr w:type="gram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安全。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交付清单：交换机主机、机架挂耳、电源线、产品合格证、使用说明书、保修卡。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验收标准：到货后开箱验收，核对设备型号、硬件接口、性能参数、配件等，需完全符合本URS所有条款，设备通电测试、</w:t>
            </w:r>
            <w:proofErr w:type="spellStart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供电功能及数据转发功能测试正常后方可验收通过。</w:t>
            </w:r>
          </w:p>
          <w:p w:rsidR="007856E1" w:rsidRPr="00C440D6" w:rsidRDefault="007856E1" w:rsidP="007856E1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C440D6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质量保障：设备需提供正规厂家质保，质保期限符合行业标准，具备完善的售后技术支持，可提供远程及现场故障排查服务。</w:t>
            </w:r>
          </w:p>
        </w:tc>
        <w:tc>
          <w:tcPr>
            <w:tcW w:w="1312" w:type="dxa"/>
            <w:vAlign w:val="center"/>
          </w:tcPr>
          <w:p w:rsidR="007856E1" w:rsidRDefault="007856E1" w:rsidP="007856E1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7856E1" w:rsidRDefault="007856E1" w:rsidP="007856E1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16口网络接入交换机：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设备类型：具备基础数据转发功能，适配企业接入层、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厂</w:t>
            </w: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区域终端接入场景，满足日常数据传输需求。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设备形态：桌面式设计，采用金属外壳，结构坚固，具备良好的抗干扰、防尘及散热性能，保障设备24小时不间断稳定运行，适配桌面部署场景。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可靠性要求：采用交流供电模式，配备国标交流适配器，供电稳定，具备过载、短路保护功能，保障交换机自身安全运行。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兼容性要求：支持标准网络协议，可与企业现有路由器、交换机等网络设备无缝兼容，终端设备即插即用，便于网络快速部署与扩展。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千兆电口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：16个10/100/1000BASE-T以太网电口，用于连接各类终端设备，支持高速有线数据传输，满足日常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生产</w:t>
            </w: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接入需求。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千兆光口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：2个千兆SFP光口，用于上行互联、跨设备数据传输，提升接入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上行带宽，保障数据传输流畅。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供电方式：采用交流供电，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标配国标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交流适配器，适配机房及办公区域标准交流电源，无需额外配置特殊供电设备。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安装要求：默认自带机架挂耳，可根据需求选择桌面部署或机架安装，兼顾桌面使用便捷性与机房标准化部署需求。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包转发率：≥26.79Mpps，确保终端数据转发高效流畅，无卡顿、丢包现象，满足接入层多终端并发传输需求。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交换容量：≥36Gbps，具备充足的带宽支撑，适配接入层终端数据交互及上行传输需求，保障网络运行稳定。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MAC地址表：支持MAC地址表容量≥8K，可稳定接入各类终端设备，避免MAC地址溢出，保障网络正常运行。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基础功能：支持VLAN划分、端口限速、环路检测等基础管理功能，满足接入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隔离、流量管控需求，提升网络安全性。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电源配置：采用交流供电模式，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标配国标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交流适配器，适配标准交流电源输入，供电稳定，具备过流、过压、防雷保护功能，保障设备安全供电。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散热要求：具备高效散热系统，适配桌面及机房标准温湿度环境，确保设备长时间稳定运行，无过热故障，满足24小时不间断工作需求。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设备结构：桌面式设计，体积小巧，摆放灵活，可直接放置于桌面，同时自带挂耳，支持机架安装，适配多种部署场景。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设备材质：采用金属外壳，具备良好的电磁屏蔽、防尘、抗压、抗干扰性能，适应办公桌面及机房复杂环境。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环境适应性：工作温度、湿度、海拔、电磁兼容等指标符合企业网络设备运行标准，可长期稳定工作。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管理方式：支持基础Web管理、CLI命令行管理，便于运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灵活操作，实现设备配置及故障排查。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运维功能：支持设备日志记录、端口状态监控、故障告警等功能，提升运维效率，便于快速定位故障。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安全管理：支持端口安全、MAC地址绑定、环路检测等安全功能，防范非法接入及网络环路，保障接入</w:t>
            </w:r>
            <w:proofErr w:type="gramStart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安全。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交付清单：交换机主机、机架挂耳、国标交流适配器、电源线、产品合格证、使用说明书、保修卡。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验收标准：到货后开箱验收，核对设备型号、硬件接口、性能参数、配件等，需完全符合本URS所有条款，设备通电测试及数据转发功能测试正常后方可验收通过。</w:t>
            </w:r>
          </w:p>
          <w:p w:rsidR="00EE333A" w:rsidRPr="00931FC7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931FC7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质量保障：设备需提供正规厂家质保，质保期限符合行业标准，具备完善的售后技术支持，可提供远程及现场故障排查服务。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24口网络接入交换机：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设备类型：具备基础数据转发功能，适配企业接入层多终端集中接入场景，满足日常办公及基础业务数据传输需求。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设备形态：1U标准机架款，采用金属外壳，结构坚固，具备良好的抗干扰、防尘及散热性能，保障设备24小时不间断稳定运行，适配机房标准化部署。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可靠性要求：采用交流供电模式，供电稳定，具备过载、短路保护功能，保障交换机自身安全运行，适配机房长期运行需求。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兼容性要求：支持标准网络协议，可与企业现有路由器、交换机等</w:t>
            </w: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网络设备无缝兼容，终端设备即插即用，便于网络快速部署与扩展。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千兆电口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：24个10/100/1000BASE-T以太网电口，用于连接各类终端设备，支持高速有线数据传输，满足多终端集中接入需求。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千兆光口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：2个千兆SFP光口，用于上行互联、跨设备数据传输，提升接入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上行带宽，保障数据传输流畅。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供电方式：采用交流供电，适配机房及办公区域标准交流电源，无需额外配置特殊供电设备。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安装要求：默认自带机架挂耳，适配1U标准机架安装，便于机房统一部署与管理，节省机架空间。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包转发率：≥38.69Mpps，确保多终端数据转发高效流畅，无卡顿、丢包现象，满足接入层多终端并发传输需求。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交换容量：≥52Gbps，具备充足的带宽支撑，适配接入层终端数据交互及上行传输需求，保障网络运行稳定。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MAC地址表：支持MAC地址表容量≥8K，可稳定接入各类终端设备，避免MAC地址溢出，保障网络正常运行。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基础功能：支持VLAN划分、端口限速、环路检测等基础管理功能，满足接入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隔离、流量管控需求，提升网络安全性。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电源配置：采用交流供电模式，适配标准交流电源输入，供电稳定，具备过流、过压、防雷保护功能，保障设备安全供电。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散热要求：具备高效散热系统，适配机房标准温湿度环境，确保设备长时间稳定运行，无过热故障，满足24小时不间断工作需求。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设备结构：1U标准机架式设计，体积紧凑，适配1U标准机架安装，节省机房机架空间，便于机房标准化部署与统一管理。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设备材质：采用金属外壳，具备良好的电磁屏蔽、防尘、抗压、抗干扰性能，适应机房复杂电磁环境及粉尘环境。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环境适应性：工作温度、湿度、海拔、电磁兼容等指标符合企业网络设备运行标准，可长期稳定工作。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管理方式：支持基础Web管理、CLI命令行管理，便于运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灵活操作，实现设备配置及故障排查。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运维功能：支持设备日志记录、端口状态监控、故障告警等功能，提升运维效率，便于快速定位故障。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安全管理：支持端口安全、MAC地址绑定、环路检测等安全功能，防范非法接入及网络环路，保障接入</w:t>
            </w:r>
            <w:proofErr w:type="gramStart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层网络</w:t>
            </w:r>
            <w:proofErr w:type="gramEnd"/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安全。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交付清单：交换机主机、机架挂耳、电源线、产品合格证、使用说明书、保修卡。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验收标准：到货后开箱验收，核对设备型号、硬件接口、性能参数、配件等，需完全符合本URS所有条款，设备通电测试及数据转发功能测试正常后方可验收通过。</w:t>
            </w:r>
          </w:p>
          <w:p w:rsidR="00EE333A" w:rsidRPr="00BA4905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BA4905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质量保障：设备需提供正规厂家质保，质保期限符合行业标准，具备完善的售后技术支持，可提供远程及现场故障排查服务。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企业级定向AP：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设备类型：支持802.11be协议，具备高带宽、高稳定性无线传输能力，适配无线覆盖场景，满足多用户并发接入需求。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设备形态：IP68防护等级，可抵御粉尘、高低温等恶劣环境，内置定向高增益天线，结构坚固，保障长期稳定运行。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可靠性要求：支持</w:t>
            </w:r>
            <w:proofErr w:type="spell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供电（2.5G电口）和48V DC双供电模式，供电灵活稳定，具备过载、短路保护功能，适配复杂供电场景，保障设备不间断运行。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兼容性要求：支持标准网络协议，可与企业现有无线控制器（AC）、交换机等网络设备无缝兼容，支持802.11be双频传输，适配各类无线终端设备，便于无线网络快速部署与扩展。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- 10GE光口：1个10GE光口，用于高速上行互联、跨设备数据传输，提升无线AP上行带宽，保障海量无线数据高效转发。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- 2.5G电口：1个2.5G电口，支持</w:t>
            </w:r>
            <w:proofErr w:type="spell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供电功能，可通过</w:t>
            </w:r>
            <w:proofErr w:type="spell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交换机为设备供电，同时实现数据传输，简化部署布线。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供电接口：1个48V DC供电口，支持直流供电模式，作为</w:t>
            </w:r>
            <w:proofErr w:type="spell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供电的备用方案，提升供电可靠性，适配无</w:t>
            </w:r>
            <w:proofErr w:type="spell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供电场景。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天线配置：内置定向高增益天线，无需额外配置外置天线，简化安装流程，提升无线信号覆盖范围与稳定性。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 xml:space="preserve">-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安装要求：支持挂墙</w:t>
            </w: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安装方式，安装便捷，牢固可靠。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无线协议：支持802.11be协议，采用2+4双</w:t>
            </w:r>
            <w:proofErr w:type="gram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频</w:t>
            </w:r>
            <w:proofErr w:type="gram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设计，实现高速无线传输，适配多终端并发接入需求。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整机速率：≥6.45Gbps，确保无线数据传输高效流畅，无卡顿、丢包现象，满足高清视频、大数据传输等高速业务需求。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发射功率：最大发射功率≥30dBm，结合内置定向高增益天线，提升无线信号覆盖范围与穿透能力。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功耗要求：最大功耗≤20.4W（不含USB），功耗低，节能环保，适配长期供电场景。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用户接入：推荐用户数≥130，可稳定支持多用户同时接入，保障无线网络运行稳定，满足多人并发使用需求。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覆盖距离：推荐最佳体验距离≤250m（受限于国家码和功率限制），确保在推荐距离内无线信号稳定、传输流畅。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电源配置：支持双供电模式，1个2.5G</w:t>
            </w:r>
            <w:proofErr w:type="gram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电口支持</w:t>
            </w:r>
            <w:proofErr w:type="spellStart"/>
            <w:proofErr w:type="gram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供电，1个48V DC供电口支持直流供电，供电灵活，具备过流、过压、防雷保</w:t>
            </w: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护功能，保障设备复杂环境下安全供电。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散热要求：具备高效户外散热系统，适配高低温、湿热等复杂环境，确保设备长时间稳定运行，无过热故障，满足24小时不间断工作需求。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设备尺寸：77 mm x 250 mm x 220 mm，体积适中，便于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挂墙</w:t>
            </w: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安装，节省安装空间。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防护等级：IP68等级，具备防尘、防水、防腐蚀、防冲击能力，可适应室外风雨、粉尘、高低温等恶劣环境，保障设备长期稳定运行。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设备材质：采用专用金属/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高强度防护材质，具备良好的抗干扰、抗压、抗老化性能，适应</w:t>
            </w: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复杂电磁环境及气候条件。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环境适应性：工作温度、湿度、海拔、电磁兼容等指标符合室外网络设备运行标准，可在恶劣户外环境下长期稳定工作。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管理方式：支持AC集中管理、Web管理、CLI命令行管理，便于运</w:t>
            </w:r>
            <w:proofErr w:type="gramStart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远程配置、监控设备状态，实现AP集中管控与故障排查。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运维功能：支持设备日志记录、故障告警、信号强度监控、固件升级等功能，提升运维效率，便于快速定位AP故障（如信号异常、供电故障等）。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安全管理：支持无线安全加密（WPA2/WPA3）、MAC地址绑定、接入控制等安全功能，防范非法接入、无线攻击，保障无线网络安全。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交付清单： AP主机、安装配件（挂墙/抱杆支架）、电源线、产品合格证、使用说明书、保修卡。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验收标准：到货后开箱验收，核对设备型号、硬件接口、性能参数、配件等，需完全符合本URS所有条款；设备通电测试、无线信号测试、供电功能测试正常，防护性能符合IP68等级要求后方可验收通过。</w:t>
            </w:r>
          </w:p>
          <w:p w:rsidR="00EE333A" w:rsidRPr="003B017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B017D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质量保障：设备需提供正规厂家质保，质保期限符合行业标准，具备完善的售后技术支持，可提供远程及现场故障排查、安装指导服务。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吸顶AP：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设备类型：支持802.11be协议，具备高带宽、高稳定性无线传输能力，适配室内吸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顶部署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场景（如办公区、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车间</w:t>
            </w: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等），满足多用户并发接入需求。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设备形态：室内吸顶式设计，体积小巧，适配室内吊顶安装，不占用地面及桌面空间，内置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智能双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极化天线，结构简洁，保障室内长期稳定运行。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可靠性要求：采用2.5G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电口上行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，供电稳定，具备过载、短路保护功能，适配室内办公、商业等常规供电场景，保障设备不间断运行。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兼容性要求：支持标准网络协议，可与企业现有无线控制器（AC）、交换机等网络设备无缝兼容，支持802.11be双频传输及BLE 5.4，适配各类无线终端设备，便于室内无线网络快速部署与扩展。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硬件接口需求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- 2.5G电口：1个2.5G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电口作为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上行接口，用于高速上行互联、跨设备数据传输，提升无线AP上行带宽，保障海量无线数据高效转发。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天线配置：内置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智能双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极化天线，无需额外配置外置天线，简化安装流程，提升室内无线信号覆盖均匀性与稳定性，适配室内复杂布局。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安装要求：采用室内吸顶式安装，适配各类室内吊顶场景，安装便捷，牢固可靠，不影响室内整体美观。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性能参数需求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无线协议：支持802.11be协议，采用2+2双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频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设计，实现高速无线传输，适配多终端并发接入需求，提升室内无线体验。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整机速率：≥3.57Gbps，确保无线数据传输高效流畅，无卡顿、丢包现象，满足高清视频、会议投屏、大数据传输等室内高速业务需求。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发射功率：最大发射功率≥23dBm，结合内置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智能双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极化天线，提升室内无线信号覆盖范围与穿透能力，适配室内多墙体、多隔断场景。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功耗要求：最大功耗≤13.6W，功耗低，节能环保，适配室内长期供电场景，降低能耗成本。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用户接入：推荐用户数≥150，可稳定支持多用户同时接入，保障室内无线网络运行稳定，满足办公、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车间</w:t>
            </w: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等多人并发使用需求。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附加功能：支持BLE 5.4，可实现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蓝牙设备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联动、定位等扩展功能，适配智慧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工厂</w:t>
            </w: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等场景需求。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电源与散热需求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电源配置：通过2.5G电口供电（支持</w:t>
            </w:r>
            <w:proofErr w:type="spell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供电，适配常规</w:t>
            </w:r>
            <w:proofErr w:type="spell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PoE</w:t>
            </w:r>
            <w:proofErr w:type="spell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交换机），供电稳定，具备过流、过压、防雷保护功能，保障设备在室内环境下安全供电。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散热要求：具备高效室内散热系统，适配室内常温环境，体积小巧且散热高效，确保设备长时间稳定运行，无过热故障，满足24小时不间断工作需求。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结构与环境需求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设备尺寸：直径180mm，高35mm，体积小巧紧凑，吸顶安装后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不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突兀，适配各类室内吊顶尺寸，不影响室内美观。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设备材质：采用室内专用高品质材质，具备良好的电磁屏蔽、防尘性能，适应室内办公、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车间</w:t>
            </w: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等常规环境，易清洁、抗老化。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环境适应性：工作温度、湿度、电磁兼容等指标符合室内网络设备运行标准，可在常规室内环境下长期稳定工作，适配不同室内温湿度场景。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管理与运维需求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管理方式：支持AC集中管理、Web管理、CLI命令行管理，便于运</w:t>
            </w:r>
            <w:proofErr w:type="gramStart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维人员</w:t>
            </w:r>
            <w:proofErr w:type="gramEnd"/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远程配置、监控设备状态，实现室内AP集中管控与故障排查。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运维功能：支持设备日志记录、故障告警、信号强度监控、固件升级等功能，提升运维效率，便于快速定位室内AP故障（如信号异常、供电故障等）。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安全管理：支持无线安全加密（WPA2/WPA3）、MAC地址绑定、接入控制等安全功能，防范非法接入、无线攻击，保障室内无线网络安全。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交付与验收需求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交付清单：AP主机、吸顶安装配件、电源线、产品合格证、使用说明书、保修卡。</w:t>
            </w:r>
          </w:p>
          <w:p w:rsidR="00EE333A" w:rsidRPr="00E8100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验收标准：到货后开箱验收，核对设备型号、硬件接口、性能参数、配件等，需完全符合本URS所有条款；设备通电测试、无线信号测试、供电功能测试正常后方可验收通过。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8100A">
              <w:rPr>
                <w:rFonts w:ascii="微软雅黑" w:eastAsia="微软雅黑" w:hAnsi="微软雅黑" w:hint="eastAsia"/>
                <w:sz w:val="18"/>
                <w:szCs w:val="18"/>
              </w:rPr>
              <w:t>- 质量保障：设备需提供正规厂家质保，质保期限符合行业标准，具备完善的售后技术支持，可提供远程及现场故障排查、安装指导服务。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室内六类非屏蔽网线：</w:t>
            </w:r>
            <w:r>
              <w:rPr>
                <w:rFonts w:hint="eastAsia"/>
              </w:rPr>
              <w:t xml:space="preserve"> 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线缆类型：室内六类非屏蔽网线（UTP），具备高带宽、低串扰、传输稳定的特点，适配室内千兆、万兆网络传输场景，满足企业日常办公及基础业务数据传输需求。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合</w:t>
            </w:r>
            <w:proofErr w:type="gramStart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规</w:t>
            </w:r>
            <w:proofErr w:type="gramEnd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性要求：严格遵循TIA/EIA 568B、ISO/IEC 11801标准生产制造，各项性能参数符合六类线缆标准，区别于超五类线缆（带宽、速率更优）。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可靠性要求：采用高品质无氧铜材质，传输损耗低、抗干扰能力强，具备良好的机械性能和电气性能，保障数据传输稳定，无丢包、卡顿现象。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适配性要求：可与各类RJ45接口网络设备（交换机、AP、电脑、打印机等）无缝兼容，支持室内布线隐蔽安装（吊顶、墙面、管线等），适配室内各类布线场景。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规格参数需求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执行标准：严格符合TIA/EIA 568B、ISO/IEC 11801标准，确保线缆性能达标，可适配各类标准网络设备。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带宽要求：≥250MHz，显著高于超五类线缆（100MHz），可支撑高速数据传输，满足千兆及万兆网络带宽需求。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传输速率：在≤100米距离内，支持传输速率≥1Gbps；在≤55米距离内，支持传输速率≥10Gbps，确保不同距离</w:t>
            </w:r>
            <w:proofErr w:type="gramStart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下数据</w:t>
            </w:r>
            <w:proofErr w:type="gramEnd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传输高效流畅。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- 线缆结构：采用4对8芯结构，导体规格为23AWG无氧铜，内置中心十字骨架，用于隔离4对线芯，有效减少线对间串扰，提升传输稳定性。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接口类型：适配通用RJ45接口，可直接与各类网络设备的RJ45端口对接，无需额外转接，安装便捷。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外皮规格：采用室内专用PVC/CM阻燃材质，具备良好的阻燃性能，符合室内消防安全要求；工作温度范围为-20℃~+60℃，适配室内常规温湿度环境，抗老化、易布线。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性能需求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传输损耗：在标准传输距离内，插入损耗、回波损耗、串扰（近端串扰、远端串扰）等指标符合六类线缆标准，确保数据传输无明显损耗，信号稳定。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抗干扰性：通过中心十字骨架隔离设计，有效降低线对间串扰，同时具备一定的抗电磁干扰能力，适应室内复杂电磁环境（如机房、办公区域各类电子设备干扰）。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机械性能：线缆外皮坚韧、耐磨，具备良好的抗拉、抗压性能，便于室内布线（牵拉、穿管），不易破损，使用寿命长。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兼容性：可与六类、超六类RJ45水晶头、配线架、模块等配套使用，适配现有室内网络布线系统，便于后期扩展与维护。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环境与安装需求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使用环境：仅限室内使用，适配办公区、机房、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车间</w:t>
            </w: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、走廊等室内场景，避免户外暴露</w:t>
            </w: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温度适应性：工作温度范围-20℃~+60℃，可在室内常规温湿</w:t>
            </w:r>
            <w:proofErr w:type="gramStart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度环境</w:t>
            </w:r>
            <w:proofErr w:type="gramEnd"/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下长期稳定使用，无老化、开裂现象。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安装要求：支持吊顶内布线、墙面穿管布线、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P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VC管、</w:t>
            </w: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地面线槽布线等室内常规布线方式，线缆柔软，便于弯曲，适配复杂布线路径；外皮阻燃，符合室内消防安全规范。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质量与验收需求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质量标准：线缆材质、结构、性能等需完全符合本URS及相关行业标准，无偷工减料、参数虚标现象；外皮无破损、开裂，线芯无氧化、断芯。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交付清单：室内六类非屏蔽网线（按需求长度裁切或整卷交付）、产品合格证、检测报告（符合TIA/EIA 568B、ISO/IEC 11801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标准）</w:t>
            </w: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</w:p>
          <w:p w:rsidR="00EE333A" w:rsidRPr="009F2F9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验收标准：到货后核对线缆规格、材质、长度及配件，随机抽样检测带宽、传输速率、串扰等关键参数，需完全符合本URS所有条款；外观无破损、性能测试正常后方可验收通过。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t>- 质量保障：提供正规厂家质保，质保期限符合行业标准，质保期内出现线缆性能不达标、外皮破损、线芯故障等质量问题，可免费更换</w:t>
            </w:r>
            <w:r w:rsidRPr="009F2F9D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或维修。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光缆：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光缆类型：24芯光缆，具备高带宽、低衰减、抗干扰强、传输稳定的特点，适配室内外长距离主干传输场景，满足企业核心网络、骨干链路的数据传输需求。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合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规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性要求：严格遵循G.652D（衰减标准）、G.657A2（弯曲性能标准）生产制造，各项性能参数符合对应标准，确保传输质量及使用可靠性。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可靠性要求：采用高品质纤芯及护套材质，具备良好的机械性能（抗拉、抗压）、光学性能（低衰减）及环境适应性，可在室内外不同环境下长期稳定运行，无信号丢失、纤芯破损等问题。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适配性要求：可与各类光模块、光交换机、光配线架等光网络设备无缝兼容，支持室内隐蔽布线、室外架空/管道/直埋布线，适配不同场景的部署需求。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规格参数需求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光缆芯数：24芯，满足多链路并行传输需求，可根据业务扩展灵活分配纤芯，适配主干网络传输容量要求。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衰减要求：符合G.652D标准，1310nm波长下衰减≤0.34dB/km；1550nm波长下衰减≤0.22dB/km，确保长距离传输信号损耗可控，保障传输质量。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弯曲性能：符合G.657A2标准，静态弯曲半径≥7.5mm，实现小半径弯曲不增损，适配室内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外复杂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布线路径（如穿管、拐弯、架空等），便于安装部署。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工作温度：室内场景-20℃~+60℃，适配办公区、机房等常规室内环境；室外场景-40℃~+85℃，适配户外高低温、湿热等恶劣环境，保障不同场景下稳定使用。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机械性能：抗拉性能：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室内≤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200N、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室外≥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800N；抗压性能：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室内≥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1000N/10cm、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室外铠装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≥3000N/10cm，具备良好的抗拉、抗压能力，适应室内外布线牵拉、挤压等场景，避免纤芯损坏。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性能需求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光学性能：除满足标准衰减要求外，回波损耗、色散等指标符合G.652D标准，确保长距离、高带宽传输无信号畸变、丢包现象，保障数据传输高效流畅。</w:t>
            </w:r>
          </w:p>
          <w:p w:rsidR="00EE333A" w:rsidRPr="00FA2DBD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抗干扰性：具备极强的抗电磁干扰、抗雷电干扰能力，不受室内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外电子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设备、雷电天气影响，适合部署在机房、户外架空、管道等复杂电磁环境。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机械性能：外皮坚韧、耐磨、抗老化，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室内款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适配隐蔽布线，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室外款具备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良好的防潮、防水、防腐蚀、防鼠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蚁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性能（铠装款增强防护），</w:t>
            </w: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使用寿命长，不易破损。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兼容性：可与G.652D、G.657A2标准相关光设备兼容，支持与光模块、光配线架、光跳线等配套使用，便于网络扩展、维护及升级。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环境与安装需求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使用环境：适配室内、室外双场景，室内用于机房、办公区主干布线，避免户外暴露；室外用于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厂</w:t>
            </w: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区、厂区架空、管道、直埋布线，需具备对应防护性能。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温度适应性：严格符合工作温度要求，室内-20℃~+60℃、室外-40℃~+85℃，可在对应环境下长期稳定运行，无纤芯老化、外皮开裂等问题。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安装要求：室内支持吊顶内布线、墙面穿管布线；室外支持架空、管道、直埋布线，弯曲半径符合G.657A2标准，布线过程中避免过度牵拉、挤压，确保纤芯完好；室外</w:t>
            </w:r>
            <w:proofErr w:type="gramStart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铠</w:t>
            </w:r>
            <w:proofErr w:type="gramEnd"/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装款需满足抗压、防腐蚀要求，适配户外恶劣环境。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质量与验收需求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质量标准：光缆芯数、材质、光学性能、机械性能等需完全符合本URS及G.652D、G.657A2相关标准，无偷工减料、参数虚标现象；外皮无破损、开裂，纤芯无氧化、断芯。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交付清单：24芯光缆（按需求长度裁切或整盘交付）、产品合格证、检测报告（符合G.652D、G.657A2标准）、使用说明书、配套布线配件（如接头保护套等）。</w:t>
            </w:r>
          </w:p>
          <w:p w:rsidR="00EE333A" w:rsidRPr="003F6BC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验收标准：到货后核对光缆芯数、规格、长度及配件，随机抽样检测衰减、弯曲性能、抗拉抗压等关键参数，需完全符合本URS所有条款；外观无破损、性能测试正常后方可验收通过。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F6BCE">
              <w:rPr>
                <w:rFonts w:ascii="微软雅黑" w:eastAsia="微软雅黑" w:hAnsi="微软雅黑" w:hint="eastAsia"/>
                <w:sz w:val="18"/>
                <w:szCs w:val="18"/>
              </w:rPr>
              <w:t>- 质量保障：提供正规厂家质保，质保期限符合行业标准，质保期内出现光缆性能不达标、外皮破损、纤芯故障等质量问题，可免费更换或维修。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光纤配套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：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光纤配套及测试需求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敷设要求：光缆需进行安全牢固敷设，室内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布线需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规范整齐、固定牢固，避免拉扯、挤压；室外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布线需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符合架空、管道或直埋规范，确保光缆敷设后稳定可靠，无松动、破损隐患。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熔接损耗：单芯熔接损耗≤0.08dB/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个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，带状熔接损耗≤0.05dB/芯，确保熔接质量达标，减少信号传输损耗。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接头盒防护：接头盒需采用三重防水设计（硅橡胶+抱箍+热缩），气密性检测合格，具备良好的防潮、防水、防腐蚀性能，适配室外恶劣环境及室内潮湿场景，保护接头处纤芯安全。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成端尾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纤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要求：成端尾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纤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标识清晰，明确区分纤芯编号，尾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纤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盘绕</w:t>
            </w: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整齐，避免过度弯曲、拉扯，确保尾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纤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连接稳定，便于后期维护与排查。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系统测试要求：系统测试需满足1310nm波长下衰减≤0.36dB/km；1550nm波长下衰减≤0.22dB/km，符合传输质量要求。</w:t>
            </w:r>
          </w:p>
          <w:p w:rsidR="00EE333A" w:rsidRPr="00380259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OTDR测试要求：采用OTDR双波长测试，测试</w:t>
            </w:r>
            <w:proofErr w:type="gramStart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曲线需无反射</w:t>
            </w:r>
            <w:proofErr w:type="gramEnd"/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峰、无断点、曲线平滑，确保光缆链路无故障、传输稳定。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380259">
              <w:rPr>
                <w:rFonts w:ascii="微软雅黑" w:eastAsia="微软雅黑" w:hAnsi="微软雅黑" w:hint="eastAsia"/>
                <w:sz w:val="18"/>
                <w:szCs w:val="18"/>
              </w:rPr>
              <w:t>- 全程链路衰减：全程链路总衰减需符合设计要求，确保整个光缆传输链路信号损耗可控，保障数据传输高效流畅。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239" w:type="dxa"/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623" w:type="dxa"/>
            <w:vAlign w:val="center"/>
          </w:tcPr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电缆：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导体要求：采用</w:t>
            </w:r>
            <w:proofErr w:type="gramStart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多股软铜导体</w:t>
            </w:r>
            <w:proofErr w:type="gramEnd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（RVV型号）或硬导体（BV/BVV型号），导体材质合格，无氧化、断丝、夹杂等缺陷，保障良好导电性能。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敷设要求：光缆需进行安全牢固敷设，室内</w:t>
            </w:r>
            <w:proofErr w:type="gramStart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布线需</w:t>
            </w:r>
            <w:proofErr w:type="gramEnd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规范整齐、固定牢固，避免拉扯、挤压；室外</w:t>
            </w:r>
            <w:proofErr w:type="gramStart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布线需</w:t>
            </w:r>
            <w:proofErr w:type="gramEnd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符合架空、管道或直埋规范，确保光缆敷设后稳定可靠，无松动、破损隐患。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护套要求：采用PVC</w:t>
            </w:r>
            <w:proofErr w:type="gramStart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或低烟无卤</w:t>
            </w:r>
            <w:proofErr w:type="gramEnd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护套，护套层完整圆整，无破损、无划痕、无开裂，贴合紧密，具备基础防护性能，保障电缆使用寿命。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绝缘要求：采用PVC或XLPE绝缘材质，绝缘层均匀无破损，颜色区分清晰，常规按L（火线）、N（零线）、PE（地线）三</w:t>
            </w:r>
            <w:proofErr w:type="gramStart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色规范</w:t>
            </w:r>
            <w:proofErr w:type="gramEnd"/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设置，便于布线识别与安装操作。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成品要求：成品电缆整体圆整，无压扁、无鼓包、无划伤、无破损，外观整洁，尺寸符合标准，适配室内外布线施工需求。</w:t>
            </w:r>
          </w:p>
          <w:p w:rsidR="00EE333A" w:rsidRPr="005C7525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厚度要求：绝缘厚度、护套厚度需严格符合国家相关标准要求，无偷工减料、厚度不达标情况，确保绝缘及防护性能可靠。</w:t>
            </w:r>
          </w:p>
          <w:p w:rsidR="00EE333A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5C7525">
              <w:rPr>
                <w:rFonts w:ascii="微软雅黑" w:eastAsia="微软雅黑" w:hAnsi="微软雅黑" w:hint="eastAsia"/>
                <w:sz w:val="18"/>
                <w:szCs w:val="18"/>
              </w:rPr>
              <w:t>- 电气性能：导体直流电阻需严格符合GB/T 3956标准要求，确保电缆导电损耗低、传输稳定，无异常发热等安全隐患。</w:t>
            </w:r>
          </w:p>
        </w:tc>
        <w:tc>
          <w:tcPr>
            <w:tcW w:w="1312" w:type="dxa"/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201" w:type="dxa"/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</w:tbl>
    <w:p w:rsidR="00C90B12" w:rsidRDefault="0056145E">
      <w:pPr>
        <w:pStyle w:val="20"/>
      </w:pPr>
      <w:bookmarkStart w:id="2" w:name="_Toc23208"/>
      <w:r>
        <w:rPr>
          <w:rFonts w:hint="eastAsia"/>
        </w:rPr>
        <w:t>服务需求</w:t>
      </w:r>
      <w:bookmarkEnd w:id="2"/>
    </w:p>
    <w:tbl>
      <w:tblPr>
        <w:tblW w:w="9519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5768"/>
        <w:gridCol w:w="1263"/>
        <w:gridCol w:w="1330"/>
      </w:tblGrid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序号</w:t>
            </w:r>
            <w:proofErr w:type="spellEnd"/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要求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val="en-GB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期望</w:t>
            </w:r>
            <w:proofErr w:type="spellEnd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/</w:t>
            </w:r>
            <w:r>
              <w:rPr>
                <w:rFonts w:ascii="微软雅黑" w:eastAsia="微软雅黑" w:hAnsi="微软雅黑" w:hint="eastAsia"/>
                <w:b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是否符合</w:t>
            </w:r>
            <w:proofErr w:type="spellEnd"/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B12" w:rsidRPr="001E4F1E" w:rsidRDefault="00EA77C5" w:rsidP="001E4F1E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质保期限内，施工方为甲方提供7×24 小时免费技术支持服务，包含远程故障排查、现场技术协助、设备运维指导等全流程支持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77C5" w:rsidRPr="00EA77C5" w:rsidRDefault="00EA77C5" w:rsidP="00EA77C5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1. 整体设备质保期限不低于 3 年，质保期内凡因设备质量、安装工艺问题导致的设备损坏，施工方免费更换全新设备并承担相关施工费用；</w:t>
            </w:r>
          </w:p>
          <w:p w:rsidR="00EA77C5" w:rsidRPr="00EA77C5" w:rsidRDefault="00EA77C5" w:rsidP="00EA77C5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2. 质保期</w:t>
            </w:r>
            <w:r w:rsidR="005E29F3">
              <w:rPr>
                <w:rFonts w:ascii="微软雅黑" w:eastAsia="微软雅黑" w:hAnsi="微软雅黑" w:hint="eastAsia"/>
                <w:sz w:val="18"/>
                <w:szCs w:val="18"/>
              </w:rPr>
              <w:t>内</w:t>
            </w: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，核心网络设备（核心三层交换机、汇聚交换机、POE 交换机、无线 AP/AC）出现故障时，施工方免费更换，不向甲方收取设备材料费、上门人工费及施工费；</w:t>
            </w:r>
          </w:p>
          <w:p w:rsidR="00C90B12" w:rsidRPr="001E4F1E" w:rsidRDefault="00EA77C5" w:rsidP="006C3436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3. 故障维修响应时效：全年1 小时内</w:t>
            </w:r>
            <w:r w:rsidR="006C3436">
              <w:rPr>
                <w:rFonts w:ascii="微软雅黑" w:eastAsia="微软雅黑" w:hAnsi="微软雅黑" w:hint="eastAsia"/>
                <w:sz w:val="18"/>
                <w:szCs w:val="18"/>
              </w:rPr>
              <w:t>抵达现场，</w:t>
            </w: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4 小时内解决一般故</w:t>
            </w: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障并出具正式《故障维修报告》，重大故障出具应急处理方案并明确解决时限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B12" w:rsidRPr="001E4F1E" w:rsidRDefault="00EA77C5" w:rsidP="00EA77C5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施工方完成网络部署并验收合格后，向甲方交付完整的项目技术资料及操作文档，包含但不限于：网络架构拓扑图（CAD/Visio 版）、设备操作手册、运</w:t>
            </w:r>
            <w:proofErr w:type="gramStart"/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维管理</w:t>
            </w:r>
            <w:proofErr w:type="gramEnd"/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流程、故障排查指南（WORD 版）、设备配置，所有资料需加盖施工方公章并提供电子版 + 纸质版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B12" w:rsidRPr="001E4F1E" w:rsidRDefault="00EA77C5" w:rsidP="001E4F1E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施工方在设备安装、维护、运维服务全过程中，对甲方的生产数据、业务信息、网络配置、设备参数等所有涉密信息承担保密责任，严禁泄露、复制、外传；项目合作结束后持续履行保密义务，若发生泄密行为，施工方承担甲方全部直接及间接损失并承担相应法律责任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  <w:bookmarkStart w:id="3" w:name="_Toc758"/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333A" w:rsidRPr="001E4F1E" w:rsidRDefault="00EE333A" w:rsidP="00EE333A">
            <w:pPr>
              <w:spacing w:line="276" w:lineRule="auto"/>
              <w:rPr>
                <w:rFonts w:ascii="微软雅黑" w:eastAsia="微软雅黑" w:hAnsi="微软雅黑"/>
                <w:sz w:val="18"/>
                <w:szCs w:val="18"/>
              </w:rPr>
            </w:pPr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质保期内，施工方对甲方整体网络质量进行定期巡检维护，每</w:t>
            </w:r>
            <w:proofErr w:type="gramStart"/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周现场</w:t>
            </w:r>
            <w:proofErr w:type="gramEnd"/>
            <w:r w:rsidRPr="00EA77C5">
              <w:rPr>
                <w:rFonts w:ascii="微软雅黑" w:eastAsia="微软雅黑" w:hAnsi="微软雅黑" w:hint="eastAsia"/>
                <w:sz w:val="18"/>
                <w:szCs w:val="18"/>
              </w:rPr>
              <w:t>巡检次数不低于 1 次，每次巡检完成后出具《网络巡检报告》，记录设备运行状态、网络性能指标、潜在问题及处理建议，巡检报告经甲方签字确认后留存归档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ind w:firstLine="44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</w:tbl>
    <w:p w:rsidR="00C90B12" w:rsidRDefault="0056145E">
      <w:pPr>
        <w:pStyle w:val="20"/>
      </w:pPr>
      <w:r>
        <w:rPr>
          <w:rFonts w:hint="eastAsia"/>
        </w:rPr>
        <w:t>验收需求</w:t>
      </w:r>
      <w:bookmarkEnd w:id="3"/>
    </w:p>
    <w:tbl>
      <w:tblPr>
        <w:tblW w:w="9519" w:type="dxa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5768"/>
        <w:gridCol w:w="1263"/>
        <w:gridCol w:w="1330"/>
      </w:tblGrid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序号</w:t>
            </w:r>
            <w:proofErr w:type="spellEnd"/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ind w:firstLine="402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要求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val="en-GB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期望</w:t>
            </w:r>
            <w:proofErr w:type="spellEnd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/</w:t>
            </w:r>
            <w:r>
              <w:rPr>
                <w:rFonts w:ascii="微软雅黑" w:eastAsia="微软雅黑" w:hAnsi="微软雅黑" w:hint="eastAsia"/>
                <w:b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/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b/>
                <w:lang w:val="en-GB" w:eastAsia="en-US" w:bidi="en-US"/>
              </w:rPr>
            </w:pPr>
            <w:proofErr w:type="spellStart"/>
            <w:r>
              <w:rPr>
                <w:rFonts w:ascii="微软雅黑" w:eastAsia="微软雅黑" w:hAnsi="微软雅黑" w:hint="eastAsia"/>
                <w:b/>
                <w:lang w:val="en-GB" w:eastAsia="en-US" w:bidi="en-US"/>
              </w:rPr>
              <w:t>是否符合</w:t>
            </w:r>
            <w:proofErr w:type="spellEnd"/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29385A">
            <w:pPr>
              <w:rPr>
                <w:rFonts w:ascii="微软雅黑" w:eastAsia="微软雅黑" w:hAnsi="微软雅黑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验收阶段，施工方采用</w:t>
            </w:r>
            <w:proofErr w:type="gramStart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福禄克</w:t>
            </w:r>
            <w:proofErr w:type="gramEnd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 xml:space="preserve"> FLUKE专业线缆测试设备（需为正版授权、在校验有效期内），对所有室内六类非屏蔽网线、24 芯光缆进行全链路现场测试，针对传输速率、衰减、串扰、回波损耗等关键指标出具正式《线缆测试报告》，测试数据需全部符合本 URS 及行业标准要求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kern w:val="2"/>
                <w:sz w:val="21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C90B12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C90B12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85A" w:rsidRPr="0029385A" w:rsidRDefault="0029385A" w:rsidP="0029385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车间无线覆盖需实现全区域无死角覆盖，完全匹配甲方生产作业需求，未达标区域施工方需按甲方要求无偿整改，直至符合标准；无线信号核心技术指标要求如下：</w:t>
            </w:r>
          </w:p>
          <w:p w:rsidR="0029385A" w:rsidRPr="0029385A" w:rsidRDefault="0029385A" w:rsidP="0029385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 xml:space="preserve">1. 信号强度：覆盖区域内无线信号强度≥-70 </w:t>
            </w:r>
            <w:proofErr w:type="spellStart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dBm</w:t>
            </w:r>
            <w:proofErr w:type="spellEnd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 xml:space="preserve">，无弱信号区；网络时延：Ping 1500 字节数据包，平均时延＜200 </w:t>
            </w:r>
            <w:proofErr w:type="spellStart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ms</w:t>
            </w:r>
            <w:proofErr w:type="spellEnd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，无丢包、卡顿；上下行速率：单终端上行速率≥4 Mbit/s、下行速率≥4 Mbit/s；</w:t>
            </w:r>
          </w:p>
          <w:p w:rsidR="0029385A" w:rsidRPr="0029385A" w:rsidRDefault="0029385A" w:rsidP="0029385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2. 带机能力：单 AP 实际并发接入终端数量≥40-60 台，多终端并发</w:t>
            </w:r>
            <w:proofErr w:type="gramStart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时网络</w:t>
            </w:r>
            <w:proofErr w:type="gramEnd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性能无明显衰减；</w:t>
            </w:r>
          </w:p>
          <w:p w:rsidR="0029385A" w:rsidRPr="0029385A" w:rsidRDefault="0029385A" w:rsidP="0029385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3. 漫游性能：全面支持 802.11k/v/r 快速漫游协议，漫游切换过程丢包率≤1%，无断连、重连现象；</w:t>
            </w:r>
          </w:p>
          <w:p w:rsidR="0029385A" w:rsidRPr="0029385A" w:rsidRDefault="0029385A" w:rsidP="0029385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4. 频段规划：实现 2.4G 全范围覆盖（保障兼容性）+5G 高速传输（保障速率），终端自动优选 5G 频段，支持频段智能切换；</w:t>
            </w:r>
          </w:p>
          <w:p w:rsidR="00C90B12" w:rsidRDefault="0029385A" w:rsidP="0029385A">
            <w:pPr>
              <w:rPr>
                <w:rFonts w:ascii="微软雅黑" w:eastAsia="微软雅黑" w:hAnsi="微软雅黑"/>
              </w:rPr>
            </w:pPr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 xml:space="preserve">5. SSID 配置：至少配置 2 </w:t>
            </w:r>
            <w:proofErr w:type="gramStart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个</w:t>
            </w:r>
            <w:proofErr w:type="gramEnd"/>
            <w:r w:rsidRPr="0029385A">
              <w:rPr>
                <w:rFonts w:ascii="微软雅黑" w:eastAsia="微软雅黑" w:hAnsi="微软雅黑" w:hint="eastAsia"/>
                <w:sz w:val="18"/>
                <w:szCs w:val="18"/>
              </w:rPr>
              <w:t>独立隔离 SSID（员工专用 / 访客专用），支持后期按需扩展多 SSID，不同 SSID 实现网络权限隔离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B12" w:rsidRDefault="0056145E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1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eastAsia="en-US" w:bidi="en-US"/>
              </w:rPr>
            </w:pPr>
            <w:bookmarkStart w:id="4" w:name="_GoBack" w:colFirst="2" w:colLast="2"/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Pr="001E4F1E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施工方需向甲方提供完整、规范的验收资料，资料需包含但不限于：CAD 版网络线路敷设图（含弱电井、机柜、点位标注）、设备技术参数手册、设备出厂合格证、线缆检测报告、网络性能测试报告、设备配置文件、项目竣工报告等，所有资料电子版刻盘归档，纸质版装订成册并加盖公</w:t>
            </w: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章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lastRenderedPageBreak/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bookmarkEnd w:id="4"/>
      <w:tr w:rsidR="00EE333A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Pr="003C4E7C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1. 所有网络线路（网线、光缆）、供电线路、光纤跳线均张贴唯一可追溯标识标签，标签包含线路编号、起止点位、规格型号、敷设日期等信息；</w:t>
            </w:r>
          </w:p>
          <w:p w:rsidR="00EE333A" w:rsidRPr="003C4E7C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2. 标识标签信息与 CAD 线路图、竣工资料完全对应，可实现一键追溯；</w:t>
            </w:r>
          </w:p>
          <w:p w:rsidR="00EE333A" w:rsidRPr="001E4F1E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3. 所有机柜内部走线遵循 “横平竖直” 原则，采用理线架、扎带规范捆扎，无杂乱缠绕、交叉挤压，设备端口与线路标识一一对应，便于后期运维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ind w:firstLine="44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Pr="001E4F1E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光纤配套配件齐全、规格匹配，包含但不限于：光纤终端盒、耦合器、成端尾</w:t>
            </w:r>
            <w:proofErr w:type="gramStart"/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纤</w:t>
            </w:r>
            <w:proofErr w:type="gramEnd"/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、光纤跳线、标识标签、防水接头盒、固定卡扣等，所有配件均为合格正品，张贴清晰标识，满足光纤敷设、熔接、成端全流程使用需求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  <w:tr w:rsidR="00EE333A">
        <w:trPr>
          <w:trHeight w:val="454"/>
        </w:trPr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numPr>
                <w:ilvl w:val="0"/>
                <w:numId w:val="3"/>
              </w:numPr>
              <w:rPr>
                <w:rFonts w:ascii="微软雅黑" w:eastAsia="微软雅黑" w:hAnsi="微软雅黑"/>
                <w:lang w:val="en-GB" w:bidi="en-US"/>
              </w:rPr>
            </w:pP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Pr="001E4F1E" w:rsidRDefault="00EE333A" w:rsidP="00EE333A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 xml:space="preserve">所有网络网线在敷设过程中全程穿管保护（采用 PVC </w:t>
            </w:r>
            <w:proofErr w:type="gramStart"/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>阻燃管</w:t>
            </w:r>
            <w:proofErr w:type="gramEnd"/>
            <w:r w:rsidRPr="003C4E7C">
              <w:rPr>
                <w:rFonts w:ascii="微软雅黑" w:eastAsia="微软雅黑" w:hAnsi="微软雅黑" w:hint="eastAsia"/>
                <w:sz w:val="18"/>
                <w:szCs w:val="18"/>
              </w:rPr>
              <w:t xml:space="preserve"> / 金属波纹管），无裸露部分；在机房设备层、弱电井等区域，网线管道采用专用卡扣 / 支架可靠固定，无悬空、晃动、挤压现象，固定间距符合行业施工规范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ind w:firstLine="400"/>
              <w:rPr>
                <w:rFonts w:ascii="微软雅黑" w:eastAsia="微软雅黑" w:hAnsi="微软雅黑"/>
                <w:lang w:val="en-GB" w:bidi="en-US"/>
              </w:rPr>
            </w:pPr>
            <w:r>
              <w:rPr>
                <w:rFonts w:ascii="微软雅黑" w:eastAsia="微软雅黑" w:hAnsi="微软雅黑" w:hint="eastAsia"/>
                <w:lang w:val="en-GB" w:bidi="en-US"/>
              </w:rPr>
              <w:t>必需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33A" w:rsidRDefault="00EE333A" w:rsidP="00EE333A">
            <w:pPr>
              <w:pStyle w:val="a5"/>
              <w:rPr>
                <w:rFonts w:ascii="微软雅黑" w:eastAsia="微软雅黑" w:hAnsi="微软雅黑"/>
                <w:lang w:val="en-GB" w:eastAsia="en-US" w:bidi="en-US"/>
              </w:rPr>
            </w:pPr>
            <w:r>
              <w:rPr>
                <w:rFonts w:ascii="微软雅黑" w:eastAsia="微软雅黑" w:hAnsi="微软雅黑" w:hint="eastAsia"/>
                <w:lang w:val="en-GB" w:eastAsia="en-US" w:bidi="en-US"/>
              </w:rPr>
              <w:t>□是/□否</w:t>
            </w:r>
          </w:p>
        </w:tc>
      </w:tr>
    </w:tbl>
    <w:p w:rsidR="00C90B12" w:rsidRDefault="00C90B12">
      <w:pPr>
        <w:widowControl/>
        <w:jc w:val="left"/>
        <w:rPr>
          <w:rFonts w:asciiTheme="minorHAnsi" w:eastAsiaTheme="minorEastAsia" w:hAnsiTheme="minorHAnsi" w:cstheme="minorBidi"/>
          <w:kern w:val="0"/>
          <w:sz w:val="20"/>
        </w:rPr>
      </w:pPr>
    </w:p>
    <w:sectPr w:rsidR="00C90B1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601" w:rsidRDefault="00412601">
      <w:r>
        <w:separator/>
      </w:r>
    </w:p>
  </w:endnote>
  <w:endnote w:type="continuationSeparator" w:id="0">
    <w:p w:rsidR="00412601" w:rsidRDefault="0041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B12" w:rsidRDefault="0056145E">
    <w:pPr>
      <w:pStyle w:val="a6"/>
      <w:tabs>
        <w:tab w:val="left" w:pos="40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10795</wp:posOffset>
              </wp:positionV>
              <wp:extent cx="215265" cy="12065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265" cy="120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0B12" w:rsidRDefault="0056145E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333A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.85pt;width:16.95pt;height:9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" filled="f" stroked="f" strokeweight=".5pt">
              <v:textbox inset="0,0,0,0">
                <w:txbxContent>
                  <w:p w:rsidR="00C90B12" w:rsidRDefault="0056145E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333A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601" w:rsidRDefault="00412601">
      <w:r>
        <w:separator/>
      </w:r>
    </w:p>
  </w:footnote>
  <w:footnote w:type="continuationSeparator" w:id="0">
    <w:p w:rsidR="00412601" w:rsidRDefault="0041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B12" w:rsidRDefault="0056145E">
    <w:pPr>
      <w:pBdr>
        <w:bottom w:val="single" w:sz="4" w:space="11" w:color="auto"/>
      </w:pBdr>
      <w:spacing w:line="0" w:lineRule="atLeast"/>
      <w:rPr>
        <w:rFonts w:ascii="楷体_GB2312" w:eastAsia="楷体_GB2312"/>
        <w:b/>
        <w:bCs/>
        <w:sz w:val="10"/>
        <w:szCs w:val="1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3175</wp:posOffset>
          </wp:positionH>
          <wp:positionV relativeFrom="paragraph">
            <wp:posOffset>-48260</wp:posOffset>
          </wp:positionV>
          <wp:extent cx="325755" cy="364490"/>
          <wp:effectExtent l="0" t="0" r="0" b="0"/>
          <wp:wrapSquare wrapText="bothSides"/>
          <wp:docPr id="4817835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783545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364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楷体_GB2312" w:eastAsia="楷体_GB2312" w:hint="eastAsia"/>
      </w:rPr>
      <w:t xml:space="preserve">                                                          </w:t>
    </w:r>
    <w:r>
      <w:rPr>
        <w:rFonts w:ascii="微软雅黑" w:eastAsia="微软雅黑" w:hint="eastAsia"/>
      </w:rPr>
      <w:t>用户需求说明书（URS）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C2244BF"/>
    <w:multiLevelType w:val="singleLevel"/>
    <w:tmpl w:val="AC2244B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B876B61"/>
    <w:multiLevelType w:val="singleLevel"/>
    <w:tmpl w:val="DB876B61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3">
    <w:nsid w:val="0000000E"/>
    <w:multiLevelType w:val="multilevel"/>
    <w:tmpl w:val="0000000E"/>
    <w:lvl w:ilvl="0">
      <w:start w:val="1"/>
      <w:numFmt w:val="decimalZero"/>
      <w:lvlText w:val="URS%1"/>
      <w:lvlJc w:val="left"/>
      <w:pPr>
        <w:tabs>
          <w:tab w:val="left" w:pos="0"/>
        </w:tabs>
        <w:ind w:left="0" w:firstLine="0"/>
      </w:pPr>
      <w:rPr>
        <w:rFonts w:ascii="Arial" w:eastAsia="宋体" w:hAnsi="Arial" w:cs="Arial" w:hint="default"/>
        <w:b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53E916C"/>
    <w:multiLevelType w:val="singleLevel"/>
    <w:tmpl w:val="053E91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FA853F7"/>
    <w:multiLevelType w:val="multilevel"/>
    <w:tmpl w:val="3FA853F7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</w:lvl>
    <w:lvl w:ilvl="3">
      <w:start w:val="1"/>
      <w:numFmt w:val="decimal"/>
      <w:pStyle w:val="4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405B06CB"/>
    <w:multiLevelType w:val="singleLevel"/>
    <w:tmpl w:val="405B06C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EB40854"/>
    <w:multiLevelType w:val="singleLevel"/>
    <w:tmpl w:val="4EB4085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5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6A"/>
    <w:rsid w:val="00003551"/>
    <w:rsid w:val="00005264"/>
    <w:rsid w:val="000064BD"/>
    <w:rsid w:val="00011044"/>
    <w:rsid w:val="00011BF5"/>
    <w:rsid w:val="00011EE8"/>
    <w:rsid w:val="0001499E"/>
    <w:rsid w:val="0001500E"/>
    <w:rsid w:val="00031209"/>
    <w:rsid w:val="0003755D"/>
    <w:rsid w:val="00057E01"/>
    <w:rsid w:val="00060E45"/>
    <w:rsid w:val="0006375E"/>
    <w:rsid w:val="000638E2"/>
    <w:rsid w:val="00066C97"/>
    <w:rsid w:val="00067B61"/>
    <w:rsid w:val="000711BC"/>
    <w:rsid w:val="00071901"/>
    <w:rsid w:val="00073BB3"/>
    <w:rsid w:val="00077243"/>
    <w:rsid w:val="00084582"/>
    <w:rsid w:val="000849A5"/>
    <w:rsid w:val="00084FC3"/>
    <w:rsid w:val="0008673A"/>
    <w:rsid w:val="000868AF"/>
    <w:rsid w:val="00090387"/>
    <w:rsid w:val="0009235A"/>
    <w:rsid w:val="000A3CBC"/>
    <w:rsid w:val="000B4102"/>
    <w:rsid w:val="000B4BF4"/>
    <w:rsid w:val="000B5672"/>
    <w:rsid w:val="000B76BA"/>
    <w:rsid w:val="000C149A"/>
    <w:rsid w:val="000C531A"/>
    <w:rsid w:val="000D3689"/>
    <w:rsid w:val="000D4D4F"/>
    <w:rsid w:val="000E104E"/>
    <w:rsid w:val="000E3308"/>
    <w:rsid w:val="000E55BF"/>
    <w:rsid w:val="000F4D23"/>
    <w:rsid w:val="000F56EE"/>
    <w:rsid w:val="000F76D3"/>
    <w:rsid w:val="001075E1"/>
    <w:rsid w:val="001110A5"/>
    <w:rsid w:val="00114AF4"/>
    <w:rsid w:val="00124DFA"/>
    <w:rsid w:val="00124E66"/>
    <w:rsid w:val="0012764D"/>
    <w:rsid w:val="0012795C"/>
    <w:rsid w:val="00130144"/>
    <w:rsid w:val="0013014D"/>
    <w:rsid w:val="00130B6B"/>
    <w:rsid w:val="001405BF"/>
    <w:rsid w:val="00142DCE"/>
    <w:rsid w:val="00143FBB"/>
    <w:rsid w:val="00145CC3"/>
    <w:rsid w:val="0015249A"/>
    <w:rsid w:val="0016117E"/>
    <w:rsid w:val="00161D41"/>
    <w:rsid w:val="00163E77"/>
    <w:rsid w:val="0016726D"/>
    <w:rsid w:val="001757BE"/>
    <w:rsid w:val="001815C4"/>
    <w:rsid w:val="00194894"/>
    <w:rsid w:val="001A0982"/>
    <w:rsid w:val="001A1701"/>
    <w:rsid w:val="001A235B"/>
    <w:rsid w:val="001A23E9"/>
    <w:rsid w:val="001A7320"/>
    <w:rsid w:val="001A7BC7"/>
    <w:rsid w:val="001B0E2C"/>
    <w:rsid w:val="001B19F0"/>
    <w:rsid w:val="001B2D10"/>
    <w:rsid w:val="001B5AD8"/>
    <w:rsid w:val="001B6D2B"/>
    <w:rsid w:val="001C59BB"/>
    <w:rsid w:val="001C7AE1"/>
    <w:rsid w:val="001D1385"/>
    <w:rsid w:val="001D5540"/>
    <w:rsid w:val="001D610F"/>
    <w:rsid w:val="001E12CD"/>
    <w:rsid w:val="001E4F1E"/>
    <w:rsid w:val="001F4D6A"/>
    <w:rsid w:val="001F6C74"/>
    <w:rsid w:val="002062A3"/>
    <w:rsid w:val="002073D5"/>
    <w:rsid w:val="002104E9"/>
    <w:rsid w:val="00210504"/>
    <w:rsid w:val="00210FEF"/>
    <w:rsid w:val="00215CFE"/>
    <w:rsid w:val="00222CC2"/>
    <w:rsid w:val="0023294D"/>
    <w:rsid w:val="00233B4A"/>
    <w:rsid w:val="002350B1"/>
    <w:rsid w:val="0024260F"/>
    <w:rsid w:val="00267286"/>
    <w:rsid w:val="00280F72"/>
    <w:rsid w:val="002813C4"/>
    <w:rsid w:val="00290538"/>
    <w:rsid w:val="00292401"/>
    <w:rsid w:val="00292F79"/>
    <w:rsid w:val="0029385A"/>
    <w:rsid w:val="002A1CD6"/>
    <w:rsid w:val="002A6883"/>
    <w:rsid w:val="002B2A6E"/>
    <w:rsid w:val="002B2D61"/>
    <w:rsid w:val="002D200B"/>
    <w:rsid w:val="002D3BA7"/>
    <w:rsid w:val="002E2ED3"/>
    <w:rsid w:val="00302787"/>
    <w:rsid w:val="003060CE"/>
    <w:rsid w:val="0031325E"/>
    <w:rsid w:val="0031425C"/>
    <w:rsid w:val="003143C9"/>
    <w:rsid w:val="00315BB5"/>
    <w:rsid w:val="003205B2"/>
    <w:rsid w:val="003206A8"/>
    <w:rsid w:val="00323978"/>
    <w:rsid w:val="00325178"/>
    <w:rsid w:val="00326B9F"/>
    <w:rsid w:val="00337813"/>
    <w:rsid w:val="00353844"/>
    <w:rsid w:val="00353ED0"/>
    <w:rsid w:val="00355404"/>
    <w:rsid w:val="00360161"/>
    <w:rsid w:val="003628A5"/>
    <w:rsid w:val="003659DF"/>
    <w:rsid w:val="00372494"/>
    <w:rsid w:val="00372B29"/>
    <w:rsid w:val="00373327"/>
    <w:rsid w:val="00373FA8"/>
    <w:rsid w:val="00374434"/>
    <w:rsid w:val="00377FFD"/>
    <w:rsid w:val="00380259"/>
    <w:rsid w:val="003816F5"/>
    <w:rsid w:val="003817C2"/>
    <w:rsid w:val="003818D2"/>
    <w:rsid w:val="00382912"/>
    <w:rsid w:val="003952FC"/>
    <w:rsid w:val="0039598E"/>
    <w:rsid w:val="00397CCF"/>
    <w:rsid w:val="003A0E0A"/>
    <w:rsid w:val="003A66C6"/>
    <w:rsid w:val="003B017D"/>
    <w:rsid w:val="003B0787"/>
    <w:rsid w:val="003B0881"/>
    <w:rsid w:val="003C08B6"/>
    <w:rsid w:val="003C4E7C"/>
    <w:rsid w:val="003C6E00"/>
    <w:rsid w:val="003D1421"/>
    <w:rsid w:val="003D6C23"/>
    <w:rsid w:val="003E4FDE"/>
    <w:rsid w:val="003E5AEA"/>
    <w:rsid w:val="003F4D53"/>
    <w:rsid w:val="003F5CA6"/>
    <w:rsid w:val="003F6BCE"/>
    <w:rsid w:val="00400357"/>
    <w:rsid w:val="004012F6"/>
    <w:rsid w:val="00412601"/>
    <w:rsid w:val="004151EE"/>
    <w:rsid w:val="00417286"/>
    <w:rsid w:val="00421035"/>
    <w:rsid w:val="00422885"/>
    <w:rsid w:val="004233B8"/>
    <w:rsid w:val="00426D58"/>
    <w:rsid w:val="00441A1D"/>
    <w:rsid w:val="00471CCD"/>
    <w:rsid w:val="00472684"/>
    <w:rsid w:val="00472D00"/>
    <w:rsid w:val="00482CBF"/>
    <w:rsid w:val="004866CB"/>
    <w:rsid w:val="00490821"/>
    <w:rsid w:val="00497BFB"/>
    <w:rsid w:val="00497DC0"/>
    <w:rsid w:val="004A3A42"/>
    <w:rsid w:val="004A5C49"/>
    <w:rsid w:val="004B32AC"/>
    <w:rsid w:val="004B6BE8"/>
    <w:rsid w:val="004C2BC0"/>
    <w:rsid w:val="004C656B"/>
    <w:rsid w:val="004D1C77"/>
    <w:rsid w:val="004D3B1D"/>
    <w:rsid w:val="004E18ED"/>
    <w:rsid w:val="004E4C82"/>
    <w:rsid w:val="004E5FD3"/>
    <w:rsid w:val="004F1C75"/>
    <w:rsid w:val="004F219A"/>
    <w:rsid w:val="004F349D"/>
    <w:rsid w:val="004F4149"/>
    <w:rsid w:val="004F52FB"/>
    <w:rsid w:val="005006B2"/>
    <w:rsid w:val="00501612"/>
    <w:rsid w:val="00501BA2"/>
    <w:rsid w:val="005101FE"/>
    <w:rsid w:val="00512D4B"/>
    <w:rsid w:val="00513705"/>
    <w:rsid w:val="0051479A"/>
    <w:rsid w:val="00520E12"/>
    <w:rsid w:val="00521C7E"/>
    <w:rsid w:val="00532096"/>
    <w:rsid w:val="00532643"/>
    <w:rsid w:val="00540A5A"/>
    <w:rsid w:val="00540CDD"/>
    <w:rsid w:val="005429FE"/>
    <w:rsid w:val="00547A0A"/>
    <w:rsid w:val="00551370"/>
    <w:rsid w:val="005546C5"/>
    <w:rsid w:val="0056145E"/>
    <w:rsid w:val="005636FF"/>
    <w:rsid w:val="00565758"/>
    <w:rsid w:val="005728A1"/>
    <w:rsid w:val="00580AF9"/>
    <w:rsid w:val="00585827"/>
    <w:rsid w:val="00593604"/>
    <w:rsid w:val="00595269"/>
    <w:rsid w:val="005A134F"/>
    <w:rsid w:val="005B1362"/>
    <w:rsid w:val="005C2B4C"/>
    <w:rsid w:val="005C30C1"/>
    <w:rsid w:val="005C6CFC"/>
    <w:rsid w:val="005C7525"/>
    <w:rsid w:val="005C7922"/>
    <w:rsid w:val="005D0EFE"/>
    <w:rsid w:val="005D271A"/>
    <w:rsid w:val="005E29F3"/>
    <w:rsid w:val="005F7384"/>
    <w:rsid w:val="00601ECD"/>
    <w:rsid w:val="006021E5"/>
    <w:rsid w:val="006048CF"/>
    <w:rsid w:val="00610485"/>
    <w:rsid w:val="006160F4"/>
    <w:rsid w:val="00620707"/>
    <w:rsid w:val="00622477"/>
    <w:rsid w:val="00624099"/>
    <w:rsid w:val="006247A8"/>
    <w:rsid w:val="00627D43"/>
    <w:rsid w:val="00631DEB"/>
    <w:rsid w:val="006375DB"/>
    <w:rsid w:val="00640644"/>
    <w:rsid w:val="00644A0E"/>
    <w:rsid w:val="006460A1"/>
    <w:rsid w:val="00654B1C"/>
    <w:rsid w:val="00656483"/>
    <w:rsid w:val="00663C95"/>
    <w:rsid w:val="00680C88"/>
    <w:rsid w:val="00681DBA"/>
    <w:rsid w:val="00682DC7"/>
    <w:rsid w:val="006903BB"/>
    <w:rsid w:val="006909D0"/>
    <w:rsid w:val="00692869"/>
    <w:rsid w:val="00694EFB"/>
    <w:rsid w:val="00697171"/>
    <w:rsid w:val="00697943"/>
    <w:rsid w:val="006A0082"/>
    <w:rsid w:val="006A0E08"/>
    <w:rsid w:val="006A4998"/>
    <w:rsid w:val="006B04E2"/>
    <w:rsid w:val="006B1D73"/>
    <w:rsid w:val="006C0D37"/>
    <w:rsid w:val="006C1625"/>
    <w:rsid w:val="006C3436"/>
    <w:rsid w:val="006E3EBE"/>
    <w:rsid w:val="006E4876"/>
    <w:rsid w:val="006E7239"/>
    <w:rsid w:val="006E7360"/>
    <w:rsid w:val="00703731"/>
    <w:rsid w:val="007045D4"/>
    <w:rsid w:val="00704FD1"/>
    <w:rsid w:val="00710400"/>
    <w:rsid w:val="0071430E"/>
    <w:rsid w:val="00716B18"/>
    <w:rsid w:val="00720BA0"/>
    <w:rsid w:val="00721C65"/>
    <w:rsid w:val="007220AD"/>
    <w:rsid w:val="00727630"/>
    <w:rsid w:val="00733F80"/>
    <w:rsid w:val="00740E08"/>
    <w:rsid w:val="007457E4"/>
    <w:rsid w:val="00747EAF"/>
    <w:rsid w:val="0075151A"/>
    <w:rsid w:val="00752E1B"/>
    <w:rsid w:val="007532D7"/>
    <w:rsid w:val="007560BA"/>
    <w:rsid w:val="00760806"/>
    <w:rsid w:val="0076388C"/>
    <w:rsid w:val="00764DF9"/>
    <w:rsid w:val="00767BC5"/>
    <w:rsid w:val="007712A2"/>
    <w:rsid w:val="007715FF"/>
    <w:rsid w:val="00771FAC"/>
    <w:rsid w:val="00773103"/>
    <w:rsid w:val="007737BA"/>
    <w:rsid w:val="0077628B"/>
    <w:rsid w:val="00776A17"/>
    <w:rsid w:val="007856E1"/>
    <w:rsid w:val="007870E3"/>
    <w:rsid w:val="00787A97"/>
    <w:rsid w:val="007B1A48"/>
    <w:rsid w:val="007B2299"/>
    <w:rsid w:val="007B2DE9"/>
    <w:rsid w:val="007C168E"/>
    <w:rsid w:val="007C2CC2"/>
    <w:rsid w:val="007C3826"/>
    <w:rsid w:val="007C6A88"/>
    <w:rsid w:val="007D1E23"/>
    <w:rsid w:val="007E35E2"/>
    <w:rsid w:val="007E6D57"/>
    <w:rsid w:val="007F24C7"/>
    <w:rsid w:val="007F3B41"/>
    <w:rsid w:val="007F69AA"/>
    <w:rsid w:val="00801CC1"/>
    <w:rsid w:val="00801D05"/>
    <w:rsid w:val="0080559B"/>
    <w:rsid w:val="008074C3"/>
    <w:rsid w:val="0081233A"/>
    <w:rsid w:val="00812D08"/>
    <w:rsid w:val="00812D61"/>
    <w:rsid w:val="00821373"/>
    <w:rsid w:val="00822CCF"/>
    <w:rsid w:val="00833C60"/>
    <w:rsid w:val="00841E54"/>
    <w:rsid w:val="00844CA3"/>
    <w:rsid w:val="00851BAC"/>
    <w:rsid w:val="00852847"/>
    <w:rsid w:val="00856551"/>
    <w:rsid w:val="00865973"/>
    <w:rsid w:val="00884EBA"/>
    <w:rsid w:val="00894265"/>
    <w:rsid w:val="008978BF"/>
    <w:rsid w:val="008A369F"/>
    <w:rsid w:val="008A4030"/>
    <w:rsid w:val="008A7158"/>
    <w:rsid w:val="008B59E2"/>
    <w:rsid w:val="008C1436"/>
    <w:rsid w:val="008C2FAD"/>
    <w:rsid w:val="008E3DB6"/>
    <w:rsid w:val="008F0806"/>
    <w:rsid w:val="008F40AE"/>
    <w:rsid w:val="008F4D83"/>
    <w:rsid w:val="009007FA"/>
    <w:rsid w:val="00903D6E"/>
    <w:rsid w:val="00913363"/>
    <w:rsid w:val="00931FC7"/>
    <w:rsid w:val="00943BF2"/>
    <w:rsid w:val="009462C9"/>
    <w:rsid w:val="00950881"/>
    <w:rsid w:val="009508EA"/>
    <w:rsid w:val="0095099F"/>
    <w:rsid w:val="009520FF"/>
    <w:rsid w:val="00956E23"/>
    <w:rsid w:val="009602CD"/>
    <w:rsid w:val="009636A1"/>
    <w:rsid w:val="0096409B"/>
    <w:rsid w:val="009700FA"/>
    <w:rsid w:val="0097474E"/>
    <w:rsid w:val="00976FF5"/>
    <w:rsid w:val="00982338"/>
    <w:rsid w:val="0098361B"/>
    <w:rsid w:val="009902F1"/>
    <w:rsid w:val="00990ABE"/>
    <w:rsid w:val="00990E98"/>
    <w:rsid w:val="00993902"/>
    <w:rsid w:val="00995EEB"/>
    <w:rsid w:val="0099760F"/>
    <w:rsid w:val="00997733"/>
    <w:rsid w:val="00997930"/>
    <w:rsid w:val="00997ADA"/>
    <w:rsid w:val="00997B9A"/>
    <w:rsid w:val="009A4295"/>
    <w:rsid w:val="009A5807"/>
    <w:rsid w:val="009B568D"/>
    <w:rsid w:val="009B6631"/>
    <w:rsid w:val="009C203D"/>
    <w:rsid w:val="009C4D45"/>
    <w:rsid w:val="009D101C"/>
    <w:rsid w:val="009D3235"/>
    <w:rsid w:val="009D5777"/>
    <w:rsid w:val="009E3544"/>
    <w:rsid w:val="009E6034"/>
    <w:rsid w:val="009F2F9D"/>
    <w:rsid w:val="009F619F"/>
    <w:rsid w:val="00A00649"/>
    <w:rsid w:val="00A0215E"/>
    <w:rsid w:val="00A06413"/>
    <w:rsid w:val="00A144C4"/>
    <w:rsid w:val="00A21F82"/>
    <w:rsid w:val="00A22C21"/>
    <w:rsid w:val="00A266F1"/>
    <w:rsid w:val="00A31D43"/>
    <w:rsid w:val="00A4207E"/>
    <w:rsid w:val="00A5084B"/>
    <w:rsid w:val="00A545C6"/>
    <w:rsid w:val="00A54BFA"/>
    <w:rsid w:val="00A5522F"/>
    <w:rsid w:val="00A614E9"/>
    <w:rsid w:val="00A62E49"/>
    <w:rsid w:val="00A65C2C"/>
    <w:rsid w:val="00A80556"/>
    <w:rsid w:val="00A80F03"/>
    <w:rsid w:val="00A93CB1"/>
    <w:rsid w:val="00AA1076"/>
    <w:rsid w:val="00AA27AE"/>
    <w:rsid w:val="00AA6733"/>
    <w:rsid w:val="00AB14BF"/>
    <w:rsid w:val="00AB3DA1"/>
    <w:rsid w:val="00AB5ED2"/>
    <w:rsid w:val="00AC1870"/>
    <w:rsid w:val="00AC2F1D"/>
    <w:rsid w:val="00AC410C"/>
    <w:rsid w:val="00AC757F"/>
    <w:rsid w:val="00AD5FB2"/>
    <w:rsid w:val="00AE42F1"/>
    <w:rsid w:val="00AF3F27"/>
    <w:rsid w:val="00AF4613"/>
    <w:rsid w:val="00AF598D"/>
    <w:rsid w:val="00AF7EE2"/>
    <w:rsid w:val="00B00B6D"/>
    <w:rsid w:val="00B031BD"/>
    <w:rsid w:val="00B07F5B"/>
    <w:rsid w:val="00B152CA"/>
    <w:rsid w:val="00B16903"/>
    <w:rsid w:val="00B20A63"/>
    <w:rsid w:val="00B21777"/>
    <w:rsid w:val="00B21B7C"/>
    <w:rsid w:val="00B306ED"/>
    <w:rsid w:val="00B314BA"/>
    <w:rsid w:val="00B368FD"/>
    <w:rsid w:val="00B37FEF"/>
    <w:rsid w:val="00B420AB"/>
    <w:rsid w:val="00B62D6A"/>
    <w:rsid w:val="00B65326"/>
    <w:rsid w:val="00B715F2"/>
    <w:rsid w:val="00B733DD"/>
    <w:rsid w:val="00B768F2"/>
    <w:rsid w:val="00B808BC"/>
    <w:rsid w:val="00B84D66"/>
    <w:rsid w:val="00B86554"/>
    <w:rsid w:val="00B95E61"/>
    <w:rsid w:val="00BA183D"/>
    <w:rsid w:val="00BA1F27"/>
    <w:rsid w:val="00BA4905"/>
    <w:rsid w:val="00BB5FD1"/>
    <w:rsid w:val="00BB6814"/>
    <w:rsid w:val="00BB7521"/>
    <w:rsid w:val="00BD14B6"/>
    <w:rsid w:val="00BD326F"/>
    <w:rsid w:val="00BD3AA5"/>
    <w:rsid w:val="00BE4FB7"/>
    <w:rsid w:val="00BE62C6"/>
    <w:rsid w:val="00BE7701"/>
    <w:rsid w:val="00BF1A60"/>
    <w:rsid w:val="00BF423E"/>
    <w:rsid w:val="00C01669"/>
    <w:rsid w:val="00C029AB"/>
    <w:rsid w:val="00C10F8A"/>
    <w:rsid w:val="00C14397"/>
    <w:rsid w:val="00C26C33"/>
    <w:rsid w:val="00C27942"/>
    <w:rsid w:val="00C300B8"/>
    <w:rsid w:val="00C30BBB"/>
    <w:rsid w:val="00C3238C"/>
    <w:rsid w:val="00C341E2"/>
    <w:rsid w:val="00C34FAC"/>
    <w:rsid w:val="00C351F3"/>
    <w:rsid w:val="00C42DFE"/>
    <w:rsid w:val="00C43549"/>
    <w:rsid w:val="00C440D6"/>
    <w:rsid w:val="00C46F8E"/>
    <w:rsid w:val="00C55760"/>
    <w:rsid w:val="00C5685A"/>
    <w:rsid w:val="00C62282"/>
    <w:rsid w:val="00C640C1"/>
    <w:rsid w:val="00C647D4"/>
    <w:rsid w:val="00C67B9B"/>
    <w:rsid w:val="00C70DEB"/>
    <w:rsid w:val="00C719D8"/>
    <w:rsid w:val="00C7779A"/>
    <w:rsid w:val="00C80DBA"/>
    <w:rsid w:val="00C84FB9"/>
    <w:rsid w:val="00C90B12"/>
    <w:rsid w:val="00C93629"/>
    <w:rsid w:val="00C96084"/>
    <w:rsid w:val="00C9653E"/>
    <w:rsid w:val="00C96CCC"/>
    <w:rsid w:val="00CA0D4F"/>
    <w:rsid w:val="00CA649F"/>
    <w:rsid w:val="00CB4F1E"/>
    <w:rsid w:val="00CB6165"/>
    <w:rsid w:val="00CB73D7"/>
    <w:rsid w:val="00CB74FF"/>
    <w:rsid w:val="00CB750A"/>
    <w:rsid w:val="00CC00CF"/>
    <w:rsid w:val="00CC051E"/>
    <w:rsid w:val="00CC0591"/>
    <w:rsid w:val="00CC3396"/>
    <w:rsid w:val="00CC36A8"/>
    <w:rsid w:val="00CC409A"/>
    <w:rsid w:val="00CD59B7"/>
    <w:rsid w:val="00CE31B7"/>
    <w:rsid w:val="00CF1DEA"/>
    <w:rsid w:val="00D00AC7"/>
    <w:rsid w:val="00D13E1B"/>
    <w:rsid w:val="00D1444A"/>
    <w:rsid w:val="00D244E3"/>
    <w:rsid w:val="00D32BD1"/>
    <w:rsid w:val="00D35572"/>
    <w:rsid w:val="00D3673E"/>
    <w:rsid w:val="00D368AF"/>
    <w:rsid w:val="00D36F3D"/>
    <w:rsid w:val="00D4278D"/>
    <w:rsid w:val="00D42A16"/>
    <w:rsid w:val="00D45867"/>
    <w:rsid w:val="00D46730"/>
    <w:rsid w:val="00D523FA"/>
    <w:rsid w:val="00D603A2"/>
    <w:rsid w:val="00D60D03"/>
    <w:rsid w:val="00D61993"/>
    <w:rsid w:val="00D643A8"/>
    <w:rsid w:val="00D72E6E"/>
    <w:rsid w:val="00D7387B"/>
    <w:rsid w:val="00D7533C"/>
    <w:rsid w:val="00D77DA2"/>
    <w:rsid w:val="00D83D36"/>
    <w:rsid w:val="00D84A0E"/>
    <w:rsid w:val="00D90569"/>
    <w:rsid w:val="00D91234"/>
    <w:rsid w:val="00DA0B34"/>
    <w:rsid w:val="00DA53D6"/>
    <w:rsid w:val="00DB330F"/>
    <w:rsid w:val="00DB69CE"/>
    <w:rsid w:val="00DC203E"/>
    <w:rsid w:val="00DC2D98"/>
    <w:rsid w:val="00DC3AD2"/>
    <w:rsid w:val="00DC3B8C"/>
    <w:rsid w:val="00DD0D8A"/>
    <w:rsid w:val="00DD32FE"/>
    <w:rsid w:val="00DD33FB"/>
    <w:rsid w:val="00DD64DE"/>
    <w:rsid w:val="00DE03CB"/>
    <w:rsid w:val="00DE15A2"/>
    <w:rsid w:val="00DE2429"/>
    <w:rsid w:val="00DE454A"/>
    <w:rsid w:val="00DE4E0C"/>
    <w:rsid w:val="00E01B89"/>
    <w:rsid w:val="00E01C54"/>
    <w:rsid w:val="00E02FD4"/>
    <w:rsid w:val="00E04B7B"/>
    <w:rsid w:val="00E061C7"/>
    <w:rsid w:val="00E07E41"/>
    <w:rsid w:val="00E14054"/>
    <w:rsid w:val="00E14841"/>
    <w:rsid w:val="00E153CE"/>
    <w:rsid w:val="00E21C05"/>
    <w:rsid w:val="00E21E1C"/>
    <w:rsid w:val="00E3013B"/>
    <w:rsid w:val="00E324F4"/>
    <w:rsid w:val="00E36974"/>
    <w:rsid w:val="00E403EC"/>
    <w:rsid w:val="00E45BA5"/>
    <w:rsid w:val="00E46161"/>
    <w:rsid w:val="00E52664"/>
    <w:rsid w:val="00E61F18"/>
    <w:rsid w:val="00E6317D"/>
    <w:rsid w:val="00E63A13"/>
    <w:rsid w:val="00E660D5"/>
    <w:rsid w:val="00E70747"/>
    <w:rsid w:val="00E77A7E"/>
    <w:rsid w:val="00E809E1"/>
    <w:rsid w:val="00E8100A"/>
    <w:rsid w:val="00E813B3"/>
    <w:rsid w:val="00E8418F"/>
    <w:rsid w:val="00E84595"/>
    <w:rsid w:val="00E85870"/>
    <w:rsid w:val="00EA0745"/>
    <w:rsid w:val="00EA77C5"/>
    <w:rsid w:val="00EA7BCA"/>
    <w:rsid w:val="00EB0CA9"/>
    <w:rsid w:val="00EB1B1F"/>
    <w:rsid w:val="00EB367A"/>
    <w:rsid w:val="00EB377A"/>
    <w:rsid w:val="00EB3DD8"/>
    <w:rsid w:val="00EC722D"/>
    <w:rsid w:val="00ED1D9C"/>
    <w:rsid w:val="00ED5722"/>
    <w:rsid w:val="00ED6B15"/>
    <w:rsid w:val="00ED738B"/>
    <w:rsid w:val="00ED773C"/>
    <w:rsid w:val="00EE333A"/>
    <w:rsid w:val="00EE3498"/>
    <w:rsid w:val="00EE67BB"/>
    <w:rsid w:val="00EF0D1B"/>
    <w:rsid w:val="00F05DCE"/>
    <w:rsid w:val="00F05DF9"/>
    <w:rsid w:val="00F05F22"/>
    <w:rsid w:val="00F07959"/>
    <w:rsid w:val="00F1362B"/>
    <w:rsid w:val="00F15231"/>
    <w:rsid w:val="00F41D7E"/>
    <w:rsid w:val="00F44BDB"/>
    <w:rsid w:val="00F475C9"/>
    <w:rsid w:val="00F51A3B"/>
    <w:rsid w:val="00F531F0"/>
    <w:rsid w:val="00F5461C"/>
    <w:rsid w:val="00F54C62"/>
    <w:rsid w:val="00F56F59"/>
    <w:rsid w:val="00F616B0"/>
    <w:rsid w:val="00F619E0"/>
    <w:rsid w:val="00F64F39"/>
    <w:rsid w:val="00F6712F"/>
    <w:rsid w:val="00F726B8"/>
    <w:rsid w:val="00F73D88"/>
    <w:rsid w:val="00F81E2A"/>
    <w:rsid w:val="00F84989"/>
    <w:rsid w:val="00F861C5"/>
    <w:rsid w:val="00F867DF"/>
    <w:rsid w:val="00F86EA7"/>
    <w:rsid w:val="00F86FBF"/>
    <w:rsid w:val="00F959F8"/>
    <w:rsid w:val="00F97A47"/>
    <w:rsid w:val="00FA2DBD"/>
    <w:rsid w:val="00FA332D"/>
    <w:rsid w:val="00FB04EB"/>
    <w:rsid w:val="00FB6936"/>
    <w:rsid w:val="00FC2F01"/>
    <w:rsid w:val="00FC3240"/>
    <w:rsid w:val="00FC3760"/>
    <w:rsid w:val="00FC43C5"/>
    <w:rsid w:val="00FD0812"/>
    <w:rsid w:val="00FD45E4"/>
    <w:rsid w:val="00FD4939"/>
    <w:rsid w:val="00FD5B92"/>
    <w:rsid w:val="00FD6402"/>
    <w:rsid w:val="00FE1D4F"/>
    <w:rsid w:val="00FE5149"/>
    <w:rsid w:val="00FF0BDF"/>
    <w:rsid w:val="00FF1828"/>
    <w:rsid w:val="00FF238F"/>
    <w:rsid w:val="00FF4973"/>
    <w:rsid w:val="00FF6F35"/>
    <w:rsid w:val="0162107C"/>
    <w:rsid w:val="0170294F"/>
    <w:rsid w:val="04B0752A"/>
    <w:rsid w:val="074D3623"/>
    <w:rsid w:val="0AC54FC2"/>
    <w:rsid w:val="0E29741D"/>
    <w:rsid w:val="12BE2498"/>
    <w:rsid w:val="23E51085"/>
    <w:rsid w:val="26E256DE"/>
    <w:rsid w:val="29D96B86"/>
    <w:rsid w:val="35330A17"/>
    <w:rsid w:val="35E43CB4"/>
    <w:rsid w:val="3CFA0DB0"/>
    <w:rsid w:val="3FBF191E"/>
    <w:rsid w:val="480C2163"/>
    <w:rsid w:val="4A5F5FD9"/>
    <w:rsid w:val="4AEA55F5"/>
    <w:rsid w:val="4F4D2326"/>
    <w:rsid w:val="5F9712EC"/>
    <w:rsid w:val="683E7CBF"/>
    <w:rsid w:val="695B5408"/>
    <w:rsid w:val="69650648"/>
    <w:rsid w:val="6A35130C"/>
    <w:rsid w:val="6E3D6323"/>
    <w:rsid w:val="7943687B"/>
    <w:rsid w:val="7A9A0546"/>
    <w:rsid w:val="7C3D3771"/>
    <w:rsid w:val="7F945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17534B-3F21-49E2-87A2-8700A3FF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endnote text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C95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widowControl/>
      <w:numPr>
        <w:numId w:val="1"/>
      </w:numPr>
      <w:tabs>
        <w:tab w:val="left" w:pos="425"/>
      </w:tabs>
      <w:spacing w:before="120" w:after="120"/>
      <w:ind w:right="448"/>
      <w:jc w:val="left"/>
      <w:outlineLvl w:val="0"/>
    </w:pPr>
    <w:rPr>
      <w:rFonts w:ascii="楷体_GB2312" w:eastAsia="微软雅黑"/>
      <w:b/>
      <w:sz w:val="24"/>
      <w:szCs w:val="2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numPr>
        <w:ilvl w:val="1"/>
        <w:numId w:val="1"/>
      </w:numPr>
      <w:spacing w:before="260" w:after="260" w:line="415" w:lineRule="auto"/>
      <w:ind w:left="709"/>
      <w:outlineLvl w:val="1"/>
    </w:pPr>
    <w:rPr>
      <w:rFonts w:ascii="微软雅黑" w:eastAsia="微软雅黑" w:hAnsi="微软雅黑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260" w:after="260" w:line="415" w:lineRule="auto"/>
      <w:ind w:left="851"/>
      <w:outlineLvl w:val="2"/>
    </w:pPr>
    <w:rPr>
      <w:rFonts w:ascii="微软雅黑" w:eastAsia="微软雅黑" w:hAnsi="微软雅黑"/>
      <w:b/>
      <w:bCs/>
      <w:szCs w:val="21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numPr>
        <w:ilvl w:val="3"/>
        <w:numId w:val="1"/>
      </w:numPr>
      <w:spacing w:before="280" w:after="290"/>
      <w:ind w:left="1134" w:hanging="709"/>
      <w:outlineLvl w:val="3"/>
    </w:pPr>
    <w:rPr>
      <w:rFonts w:ascii="微软雅黑" w:eastAsia="微软雅黑" w:hAnsi="微软雅黑" w:cs="微软雅黑"/>
      <w:b/>
      <w:bCs/>
      <w:szCs w:val="2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40" w:after="64" w:line="317" w:lineRule="auto"/>
      <w:ind w:left="1151" w:hanging="1151"/>
      <w:outlineLvl w:val="5"/>
    </w:pPr>
    <w:rPr>
      <w:rFonts w:ascii="Arial" w:eastAsia="黑体" w:hAnsi="Arial"/>
      <w:b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17" w:lineRule="auto"/>
      <w:ind w:left="1296" w:hanging="1296"/>
      <w:outlineLvl w:val="6"/>
    </w:pPr>
    <w:rPr>
      <w:rFonts w:ascii="宋体"/>
      <w:b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40" w:after="64" w:line="317" w:lineRule="auto"/>
      <w:ind w:left="1440" w:hanging="1440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240" w:after="64" w:line="317" w:lineRule="auto"/>
      <w:ind w:left="1583" w:hanging="1583"/>
      <w:outlineLvl w:val="8"/>
    </w:pPr>
    <w:rPr>
      <w:rFonts w:ascii="Arial" w:eastAsia="黑体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autoRedefine/>
    <w:qFormat/>
    <w:pPr>
      <w:numPr>
        <w:numId w:val="2"/>
      </w:numPr>
      <w:spacing w:before="60" w:after="60" w:line="360" w:lineRule="auto"/>
      <w:ind w:firstLineChars="200" w:firstLine="200"/>
      <w:jc w:val="left"/>
    </w:pPr>
    <w:rPr>
      <w:rFonts w:eastAsia="Times New Roman"/>
      <w:kern w:val="0"/>
      <w:sz w:val="22"/>
      <w:lang w:val="en-GB" w:eastAsia="en-US"/>
    </w:rPr>
  </w:style>
  <w:style w:type="paragraph" w:styleId="a3">
    <w:name w:val="annotation text"/>
    <w:basedOn w:val="a"/>
    <w:link w:val="Char"/>
    <w:uiPriority w:val="99"/>
    <w:unhideWhenUsed/>
    <w:qFormat/>
    <w:pPr>
      <w:jc w:val="left"/>
    </w:pPr>
    <w:rPr>
      <w:rFonts w:ascii="宋体" w:hint="eastAsia"/>
      <w:sz w:val="24"/>
      <w:szCs w:val="24"/>
    </w:rPr>
  </w:style>
  <w:style w:type="paragraph" w:styleId="a4">
    <w:name w:val="Body Text"/>
    <w:basedOn w:val="a"/>
    <w:qFormat/>
    <w:pPr>
      <w:spacing w:after="120"/>
    </w:pPr>
  </w:style>
  <w:style w:type="paragraph" w:styleId="30">
    <w:name w:val="toc 3"/>
    <w:basedOn w:val="a"/>
    <w:next w:val="a"/>
    <w:autoRedefine/>
    <w:uiPriority w:val="39"/>
    <w:qFormat/>
    <w:pPr>
      <w:ind w:leftChars="400" w:left="840"/>
    </w:pPr>
    <w:rPr>
      <w:rFonts w:ascii="微软雅黑" w:eastAsia="微软雅黑" w:hAnsi="微软雅黑" w:cs="微软雅黑"/>
      <w:szCs w:val="21"/>
    </w:rPr>
  </w:style>
  <w:style w:type="paragraph" w:styleId="a5">
    <w:name w:val="endnote text"/>
    <w:basedOn w:val="a"/>
    <w:link w:val="Char0"/>
    <w:qFormat/>
    <w:pPr>
      <w:snapToGrid w:val="0"/>
      <w:jc w:val="left"/>
    </w:pPr>
    <w:rPr>
      <w:kern w:val="0"/>
      <w:sz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Pr>
      <w:rFonts w:ascii="微软雅黑" w:eastAsia="微软雅黑" w:hAnsi="微软雅黑" w:cs="微软雅黑"/>
      <w:szCs w:val="21"/>
    </w:rPr>
  </w:style>
  <w:style w:type="paragraph" w:styleId="21">
    <w:name w:val="toc 2"/>
    <w:basedOn w:val="a"/>
    <w:next w:val="a"/>
    <w:autoRedefine/>
    <w:uiPriority w:val="39"/>
    <w:qFormat/>
    <w:pPr>
      <w:ind w:leftChars="200" w:left="420"/>
    </w:pPr>
    <w:rPr>
      <w:rFonts w:ascii="微软雅黑" w:eastAsia="微软雅黑" w:hAnsi="微软雅黑" w:cs="微软雅黑"/>
      <w:szCs w:val="21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qFormat/>
    <w:rPr>
      <w:color w:val="0000FF"/>
      <w:u w:val="single"/>
    </w:rPr>
  </w:style>
  <w:style w:type="character" w:styleId="aa">
    <w:name w:val="annotation reference"/>
    <w:basedOn w:val="a0"/>
    <w:uiPriority w:val="99"/>
    <w:unhideWhenUsed/>
    <w:qFormat/>
    <w:rPr>
      <w:sz w:val="21"/>
      <w:szCs w:val="21"/>
    </w:rPr>
  </w:style>
  <w:style w:type="paragraph" w:styleId="ab">
    <w:name w:val="List Paragraph"/>
    <w:basedOn w:val="a"/>
    <w:uiPriority w:val="34"/>
    <w:qFormat/>
    <w:pPr>
      <w:widowControl/>
      <w:spacing w:after="200" w:line="276" w:lineRule="auto"/>
      <w:ind w:left="720"/>
      <w:contextualSpacing/>
      <w:jc w:val="center"/>
    </w:pPr>
    <w:rPr>
      <w:rFonts w:ascii="Arial" w:hAnsi="Arial"/>
      <w:kern w:val="0"/>
      <w:sz w:val="22"/>
      <w:szCs w:val="22"/>
      <w:lang w:eastAsia="en-US"/>
    </w:rPr>
  </w:style>
  <w:style w:type="paragraph" w:customStyle="1" w:styleId="TabletText1">
    <w:name w:val="Tablet Text 1"/>
    <w:basedOn w:val="a"/>
    <w:uiPriority w:val="99"/>
    <w:qFormat/>
    <w:pPr>
      <w:spacing w:before="60" w:after="60"/>
      <w:jc w:val="center"/>
    </w:pPr>
    <w:rPr>
      <w:sz w:val="20"/>
    </w:rPr>
  </w:style>
  <w:style w:type="paragraph" w:customStyle="1" w:styleId="Text">
    <w:name w:val="Text"/>
    <w:basedOn w:val="a"/>
    <w:qFormat/>
    <w:pPr>
      <w:widowControl/>
      <w:spacing w:before="120"/>
    </w:pPr>
    <w:rPr>
      <w:rFonts w:ascii="Calibri" w:hAnsi="Calibri"/>
      <w:kern w:val="0"/>
      <w:szCs w:val="22"/>
      <w:lang w:eastAsia="en-US" w:bidi="en-US"/>
    </w:rPr>
  </w:style>
  <w:style w:type="paragraph" w:customStyle="1" w:styleId="TPNormalCharCharCharCharCharCharChar">
    <w:name w:val="TP_Normal Char Char Char Char Char Char Char"/>
    <w:basedOn w:val="a"/>
    <w:link w:val="TPNormalCharCharCharCharCharCharCharChar"/>
    <w:autoRedefine/>
    <w:qFormat/>
    <w:pPr>
      <w:widowControl/>
      <w:tabs>
        <w:tab w:val="left" w:pos="720"/>
      </w:tabs>
      <w:adjustRightInd w:val="0"/>
      <w:snapToGrid w:val="0"/>
      <w:spacing w:before="60" w:after="60" w:line="360" w:lineRule="auto"/>
      <w:jc w:val="center"/>
    </w:pPr>
    <w:rPr>
      <w:rFonts w:ascii="微软雅黑" w:eastAsia="微软雅黑" w:hAnsi="微软雅黑"/>
      <w:b/>
      <w:color w:val="000000"/>
      <w:kern w:val="0"/>
      <w:sz w:val="72"/>
      <w:szCs w:val="72"/>
      <w:shd w:val="clear" w:color="auto" w:fill="FFFFFF"/>
    </w:rPr>
  </w:style>
  <w:style w:type="character" w:customStyle="1" w:styleId="TPNormalCharCharCharCharCharCharCharChar">
    <w:name w:val="TP_Normal Char Char Char Char Char Char Char Char"/>
    <w:link w:val="TPNormalCharCharCharCharCharCharChar"/>
    <w:autoRedefine/>
    <w:qFormat/>
    <w:rPr>
      <w:rFonts w:ascii="微软雅黑" w:eastAsia="微软雅黑" w:hAnsi="微软雅黑" w:cs="Times New Roman"/>
      <w:b/>
      <w:color w:val="000000"/>
      <w:sz w:val="72"/>
      <w:szCs w:val="72"/>
    </w:rPr>
  </w:style>
  <w:style w:type="character" w:customStyle="1" w:styleId="1Char">
    <w:name w:val="标题 1 Char"/>
    <w:basedOn w:val="a0"/>
    <w:link w:val="1"/>
    <w:qFormat/>
    <w:rPr>
      <w:rFonts w:ascii="楷体_GB2312" w:eastAsia="微软雅黑" w:hAnsi="Times New Roman" w:cs="Times New Roman"/>
      <w:b/>
      <w:kern w:val="2"/>
      <w:sz w:val="24"/>
      <w:szCs w:val="24"/>
    </w:rPr>
  </w:style>
  <w:style w:type="character" w:customStyle="1" w:styleId="2Char">
    <w:name w:val="标题 2 Char"/>
    <w:basedOn w:val="a0"/>
    <w:link w:val="20"/>
    <w:qFormat/>
    <w:rPr>
      <w:rFonts w:ascii="微软雅黑" w:eastAsia="微软雅黑" w:hAnsi="微软雅黑" w:cstheme="majorBidi"/>
      <w:b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="微软雅黑" w:eastAsia="微软雅黑" w:hAnsi="微软雅黑" w:cs="Times New Roman"/>
      <w:b/>
      <w:bCs/>
      <w:kern w:val="2"/>
      <w:sz w:val="21"/>
      <w:szCs w:val="21"/>
    </w:rPr>
  </w:style>
  <w:style w:type="character" w:customStyle="1" w:styleId="Char0">
    <w:name w:val="尾注文本 Char"/>
    <w:basedOn w:val="a0"/>
    <w:link w:val="a5"/>
    <w:qFormat/>
    <w:rPr>
      <w:rFonts w:ascii="Times New Roman" w:eastAsia="宋体" w:hAnsi="Times New Roman" w:cs="Times New Roman"/>
    </w:rPr>
  </w:style>
  <w:style w:type="character" w:customStyle="1" w:styleId="4Char">
    <w:name w:val="标题 4 Char"/>
    <w:basedOn w:val="a0"/>
    <w:link w:val="4"/>
    <w:uiPriority w:val="9"/>
    <w:qFormat/>
    <w:rPr>
      <w:rFonts w:ascii="微软雅黑" w:eastAsia="微软雅黑" w:hAnsi="微软雅黑" w:cs="微软雅黑"/>
      <w:b/>
      <w:bCs/>
      <w:kern w:val="2"/>
      <w:sz w:val="21"/>
      <w:szCs w:val="21"/>
    </w:rPr>
  </w:style>
  <w:style w:type="paragraph" w:customStyle="1" w:styleId="22">
    <w:name w:val="验证标题2"/>
    <w:basedOn w:val="20"/>
    <w:qFormat/>
    <w:pPr>
      <w:keepNext w:val="0"/>
      <w:keepLines w:val="0"/>
      <w:widowControl/>
      <w:numPr>
        <w:ilvl w:val="0"/>
        <w:numId w:val="0"/>
      </w:numPr>
      <w:tabs>
        <w:tab w:val="left" w:pos="420"/>
        <w:tab w:val="left" w:pos="709"/>
      </w:tabs>
      <w:adjustRightInd w:val="0"/>
      <w:snapToGrid w:val="0"/>
      <w:spacing w:before="0" w:after="200" w:line="240" w:lineRule="auto"/>
      <w:ind w:left="567" w:hanging="567"/>
      <w:jc w:val="left"/>
    </w:pPr>
    <w:rPr>
      <w:rFonts w:cs="Times New Roman"/>
      <w:bCs w:val="0"/>
      <w:kern w:val="0"/>
      <w:szCs w:val="20"/>
      <w:shd w:val="clear" w:color="auto" w:fill="FFFFFF"/>
      <w:lang w:val="zh-CN" w:eastAsia="en-IE"/>
    </w:rPr>
  </w:style>
  <w:style w:type="character" w:customStyle="1" w:styleId="5Char">
    <w:name w:val="标题 5 Char"/>
    <w:basedOn w:val="a0"/>
    <w:link w:val="5"/>
    <w:semiHidden/>
    <w:qFormat/>
    <w:rPr>
      <w:rFonts w:ascii="Times New Roman" w:eastAsia="宋体" w:hAnsi="Times New Roman" w:cs="Times New Roman"/>
      <w:b/>
      <w:bCs/>
      <w:kern w:val="2"/>
      <w:sz w:val="28"/>
      <w:szCs w:val="28"/>
    </w:rPr>
  </w:style>
  <w:style w:type="paragraph" w:customStyle="1" w:styleId="TOC1">
    <w:name w:val="TOC 标题1"/>
    <w:basedOn w:val="1"/>
    <w:next w:val="a"/>
    <w:uiPriority w:val="39"/>
    <w:unhideWhenUsed/>
    <w:qFormat/>
    <w:pPr>
      <w:keepLines/>
      <w:numPr>
        <w:numId w:val="0"/>
      </w:numPr>
      <w:tabs>
        <w:tab w:val="clear" w:pos="425"/>
      </w:tabs>
      <w:spacing w:before="240"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color w:val="2D53A0" w:themeColor="accent1" w:themeShade="BF"/>
      <w:kern w:val="0"/>
      <w:sz w:val="32"/>
      <w:szCs w:val="32"/>
    </w:rPr>
  </w:style>
  <w:style w:type="character" w:styleId="ac">
    <w:name w:val="Placeholder Text"/>
    <w:basedOn w:val="a0"/>
    <w:uiPriority w:val="99"/>
    <w:unhideWhenUsed/>
    <w:qFormat/>
    <w:rPr>
      <w:color w:val="666666"/>
    </w:rPr>
  </w:style>
  <w:style w:type="character" w:customStyle="1" w:styleId="Char">
    <w:name w:val="批注文字 Char"/>
    <w:basedOn w:val="a0"/>
    <w:link w:val="a3"/>
    <w:uiPriority w:val="99"/>
    <w:qFormat/>
    <w:rPr>
      <w:rFonts w:ascii="宋体" w:eastAsia="宋体" w:hAnsi="Times New Roman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Arial" w:eastAsia="黑体" w:hAnsi="Arial" w:cs="Times New Roman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="宋体" w:eastAsia="宋体" w:hAnsi="Times New Roman" w:cs="Times New Roman"/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="Arial" w:eastAsia="黑体" w:hAnsi="Arial" w:cs="Times New Roman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="Arial" w:eastAsia="黑体" w:hAnsi="Arial" w:cs="Times New Roman"/>
      <w:kern w:val="2"/>
      <w:sz w:val="21"/>
      <w:szCs w:val="24"/>
    </w:rPr>
  </w:style>
  <w:style w:type="paragraph" w:customStyle="1" w:styleId="Style13">
    <w:name w:val="_Style 13"/>
    <w:basedOn w:val="a"/>
    <w:next w:val="ab"/>
    <w:uiPriority w:val="34"/>
    <w:qFormat/>
    <w:pPr>
      <w:adjustRightInd w:val="0"/>
      <w:snapToGrid w:val="0"/>
      <w:spacing w:line="360" w:lineRule="auto"/>
      <w:ind w:left="737" w:firstLineChars="200" w:firstLine="420"/>
      <w:jc w:val="left"/>
    </w:pPr>
    <w:rPr>
      <w:rFonts w:ascii="Arial" w:hAnsi="Arial" w:cs="Arial"/>
      <w:kern w:val="0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219CBA-F344-474F-ADBB-5FD055D0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22</Pages>
  <Words>2818</Words>
  <Characters>16068</Characters>
  <Application>Microsoft Office Word</Application>
  <DocSecurity>0</DocSecurity>
  <Lines>133</Lines>
  <Paragraphs>37</Paragraphs>
  <ScaleCrop>false</ScaleCrop>
  <Company/>
  <LinksUpToDate>false</LinksUpToDate>
  <CharactersWithSpaces>18849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wp</cp:lastModifiedBy>
  <cp:revision>46</cp:revision>
  <dcterms:created xsi:type="dcterms:W3CDTF">2025-06-19T07:38:00Z</dcterms:created>
  <dcterms:modified xsi:type="dcterms:W3CDTF">2026-03-04T08:23:00Z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eyJoZGlkIjoiMzFlMDFkZTc1YTlkODEwOTczNzA1Njc3YmE2MmFkYTAiLCJ1c2VySWQiOiIyNTQyNzExMjEifQ==</vt:lpwstr>
  </property>
  <property fmtid="{D5CDD505-2E9C-101B-9397-08002B2CF9AE}" pid="4" name="ICV">
    <vt:lpwstr>2CFB8FF7F64E4360A7E53CF841C777B4_13</vt:lpwstr>
  </property>
  <property fmtid="{D5CDD505-2E9C-101B-9397-08002B2CF9AE}" pid="5" name="办公室">
    <vt:lpwstr>2052-12.1.0.21541</vt:lpwstr>
  </property>
</Properties>
</file>